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9D13B6">
      <w:pPr>
        <w:rPr>
          <w:b/>
        </w:rPr>
      </w:pPr>
      <w:r>
        <w:rPr>
          <w:b/>
        </w:rPr>
        <w:t>Pension Fund Committee</w:t>
      </w:r>
    </w:p>
    <w:p w:rsidR="003E6A45" w:rsidRDefault="003E6A45">
      <w:r>
        <w:t xml:space="preserve">Meeting to be held on </w:t>
      </w:r>
      <w:r w:rsidR="009D13B6">
        <w:t>6 June 2014</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c>
          <w:tcPr>
            <w:tcW w:w="3260" w:type="dxa"/>
          </w:tcPr>
          <w:p w:rsidR="003E6A45" w:rsidRDefault="003E6A45">
            <w:pPr>
              <w:pStyle w:val="BodyText"/>
            </w:pPr>
            <w:r>
              <w:t>Electoral Division affected:</w:t>
            </w:r>
          </w:p>
          <w:p w:rsidR="003E6A45" w:rsidRDefault="009D13B6">
            <w:pPr>
              <w:rPr>
                <w:u w:val="single"/>
              </w:rPr>
            </w:pPr>
            <w:r>
              <w:t>None</w:t>
            </w:r>
          </w:p>
        </w:tc>
      </w:tr>
    </w:tbl>
    <w:p w:rsidR="003E6A45" w:rsidRDefault="003E6A45">
      <w:pPr>
        <w:rPr>
          <w:u w:val="single"/>
        </w:rPr>
      </w:pPr>
    </w:p>
    <w:p w:rsidR="003E6A45" w:rsidRDefault="009D13B6">
      <w:pPr>
        <w:rPr>
          <w:b/>
        </w:rPr>
      </w:pPr>
      <w:r w:rsidRPr="009D13B6">
        <w:rPr>
          <w:b/>
        </w:rPr>
        <w:t>Shareholder Voting</w:t>
      </w:r>
      <w:r w:rsidR="00593A7A">
        <w:rPr>
          <w:b/>
        </w:rPr>
        <w:t xml:space="preserve"> and </w:t>
      </w:r>
      <w:r w:rsidRPr="009D13B6">
        <w:rPr>
          <w:b/>
        </w:rPr>
        <w:t>Engagement</w:t>
      </w:r>
    </w:p>
    <w:p w:rsidR="003E6A45" w:rsidRDefault="009D13B6">
      <w:pPr>
        <w:ind w:left="709" w:hanging="709"/>
      </w:pPr>
      <w:r>
        <w:t>(Appendices 'A' and 'B' refer)</w:t>
      </w:r>
    </w:p>
    <w:p w:rsidR="003E6A45" w:rsidRDefault="003E6A45"/>
    <w:p w:rsidR="003E6A45" w:rsidRDefault="003E6A45">
      <w:r>
        <w:t>Contact for further information:</w:t>
      </w:r>
    </w:p>
    <w:p w:rsidR="003E6A45" w:rsidRDefault="009D13B6">
      <w:r>
        <w:t>Andrew Fox</w:t>
      </w:r>
      <w:r w:rsidR="003E6A45">
        <w:t xml:space="preserve">, </w:t>
      </w:r>
      <w:r>
        <w:t>(01772) 535916</w:t>
      </w:r>
      <w:r w:rsidR="003E6A45">
        <w:t xml:space="preserve">, </w:t>
      </w:r>
      <w:r>
        <w:t>County Treasurer's Directorate</w:t>
      </w:r>
      <w:r w:rsidR="00772BBA">
        <w:t xml:space="preserve">, </w:t>
      </w:r>
    </w:p>
    <w:p w:rsidR="00772BBA" w:rsidRDefault="009D13B6">
      <w:r>
        <w:t>Andrew.fox@lancashire.gov.uk</w:t>
      </w:r>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tc>
          <w:tcPr>
            <w:tcW w:w="9180" w:type="dxa"/>
          </w:tcPr>
          <w:p w:rsidR="003E6A45" w:rsidRDefault="003E6A45">
            <w:pPr>
              <w:pStyle w:val="Header"/>
            </w:pPr>
          </w:p>
          <w:p w:rsidR="003E6A45" w:rsidRDefault="003E6A45" w:rsidP="00070E48">
            <w:pPr>
              <w:pStyle w:val="Heading6"/>
              <w:spacing w:after="120"/>
              <w:rPr>
                <w:rFonts w:ascii="Arial" w:hAnsi="Arial"/>
              </w:rPr>
            </w:pPr>
            <w:r>
              <w:rPr>
                <w:rFonts w:ascii="Arial" w:hAnsi="Arial"/>
              </w:rPr>
              <w:t>Executive Summary</w:t>
            </w:r>
          </w:p>
          <w:p w:rsidR="00070E48" w:rsidRPr="00070E48" w:rsidRDefault="00070E48" w:rsidP="00070E48">
            <w:pPr>
              <w:spacing w:after="120"/>
            </w:pPr>
            <w:r w:rsidRPr="00070E48">
              <w:t>In accordance with its policies on promoting corporate social responsibility in the businesses in which it invest</w:t>
            </w:r>
            <w:r w:rsidR="00DA54F4">
              <w:t>s,</w:t>
            </w:r>
            <w:r w:rsidRPr="00070E48">
              <w:t xml:space="preserve"> the Fund </w:t>
            </w:r>
            <w:r w:rsidR="00DA54F4">
              <w:t xml:space="preserve">seeks to influence companies' behaviour and ensure sound governance principles. The Fund achieves this through engaging </w:t>
            </w:r>
            <w:r w:rsidRPr="00070E48">
              <w:t xml:space="preserve"> Pensions and Investment Research Consultants Ltd (PIRC) as its Governance Adviser and </w:t>
            </w:r>
            <w:r w:rsidR="00DA54F4">
              <w:t xml:space="preserve">also through </w:t>
            </w:r>
            <w:r w:rsidRPr="00070E48">
              <w:t>the Local Authority Pension Fund Forum (LAPFF)</w:t>
            </w:r>
            <w:r w:rsidR="00DA54F4">
              <w:t>.</w:t>
            </w:r>
            <w:r w:rsidRPr="00070E48">
              <w:t xml:space="preserve"> </w:t>
            </w:r>
          </w:p>
          <w:p w:rsidR="00070E48" w:rsidRPr="00070E48" w:rsidRDefault="00070E48" w:rsidP="00070E48">
            <w:r w:rsidRPr="00070E48">
              <w:t xml:space="preserve">This report provides the latest quarterly update for the Committee on the work undertaken on the Fund's behalf by PIRC and the engagement activity undertaken by LAPFF. </w:t>
            </w:r>
          </w:p>
          <w:p w:rsidR="00070E48" w:rsidRPr="00070E48" w:rsidRDefault="00070E48" w:rsidP="00070E48">
            <w:pPr>
              <w:spacing w:before="120"/>
            </w:pPr>
            <w:r w:rsidRPr="00070E48">
              <w:t xml:space="preserve">The attached report from PIRC (Appendix A) covers the period 1 </w:t>
            </w:r>
            <w:r>
              <w:t xml:space="preserve">January 2014 </w:t>
            </w:r>
            <w:r w:rsidRPr="00070E48">
              <w:t xml:space="preserve">to 31 </w:t>
            </w:r>
            <w:r>
              <w:t>March 2014</w:t>
            </w:r>
            <w:r w:rsidRPr="00070E48">
              <w:t xml:space="preserve">.  </w:t>
            </w:r>
            <w:r w:rsidRPr="002949D5">
              <w:t xml:space="preserve">The Fund has voted on </w:t>
            </w:r>
            <w:r w:rsidR="002949D5" w:rsidRPr="002949D5">
              <w:t>535</w:t>
            </w:r>
            <w:r w:rsidRPr="002949D5">
              <w:t xml:space="preserve"> occasions and has opposed or abstained in 34% of votes.  PIRC</w:t>
            </w:r>
            <w:r w:rsidRPr="00070E48">
              <w:t xml:space="preserve"> recommends not supporting resolutions where it does not believe best governance practice is being applied.  PIRC’s focus has been on promoting independent representation on company boards, separating the roles of CEO and Chairman and ensuring remuneration proposals are aligned with shareholders’ interests.</w:t>
            </w:r>
          </w:p>
          <w:p w:rsidR="00070E48" w:rsidRPr="00070E48" w:rsidRDefault="00070E48" w:rsidP="00070E48">
            <w:pPr>
              <w:spacing w:before="120"/>
            </w:pPr>
            <w:r w:rsidRPr="00070E48">
              <w:t>Details of the holdings of the Pension Fund in relation to the meetings held in this period are also given to provide more contextual information regarding the geographical and sector spread of the shareholder interests.</w:t>
            </w:r>
          </w:p>
          <w:p w:rsidR="00070E48" w:rsidRPr="00070E48" w:rsidRDefault="00070E48" w:rsidP="00070E48">
            <w:pPr>
              <w:spacing w:before="120"/>
            </w:pPr>
            <w:r w:rsidRPr="00070E48">
              <w:t xml:space="preserve">The attached engagement report from LAPFF (Appendix B) also covers the period 1 </w:t>
            </w:r>
            <w:r>
              <w:t xml:space="preserve">January </w:t>
            </w:r>
            <w:r w:rsidRPr="00070E48">
              <w:t xml:space="preserve">to 31 </w:t>
            </w:r>
            <w:r>
              <w:t>March 2014</w:t>
            </w:r>
            <w:r w:rsidRPr="00070E48">
              <w:t xml:space="preserve">. </w:t>
            </w:r>
          </w:p>
          <w:p w:rsidR="00070E48" w:rsidRPr="00070E48" w:rsidRDefault="00070E48" w:rsidP="00070E48">
            <w:pPr>
              <w:spacing w:before="120"/>
            </w:pPr>
            <w:r w:rsidRPr="00070E48">
              <w:t xml:space="preserve">Details of potential class actions in relation to companies in which Lancashire County Pension Fund </w:t>
            </w:r>
            <w:r>
              <w:t xml:space="preserve">currently </w:t>
            </w:r>
            <w:r w:rsidRPr="00070E48">
              <w:t xml:space="preserve">owns </w:t>
            </w:r>
            <w:r>
              <w:t xml:space="preserve">shares </w:t>
            </w:r>
            <w:r w:rsidRPr="00070E48">
              <w:t xml:space="preserve">or has </w:t>
            </w:r>
            <w:r>
              <w:t xml:space="preserve">previously </w:t>
            </w:r>
            <w:r w:rsidRPr="00070E48">
              <w:t>owned shares is also set out in the report.</w:t>
            </w:r>
          </w:p>
          <w:p w:rsidR="00070E48" w:rsidRPr="00070E48" w:rsidRDefault="00070E48" w:rsidP="00070E48"/>
          <w:p w:rsidR="00070E48" w:rsidRPr="00070E48" w:rsidRDefault="00070E48" w:rsidP="00070E48">
            <w:pPr>
              <w:keepNext/>
              <w:spacing w:after="120"/>
              <w:outlineLvl w:val="4"/>
              <w:rPr>
                <w:b/>
              </w:rPr>
            </w:pPr>
            <w:r w:rsidRPr="00070E48">
              <w:rPr>
                <w:b/>
              </w:rPr>
              <w:t>Recommendation</w:t>
            </w:r>
          </w:p>
          <w:p w:rsidR="00070E48" w:rsidRPr="00070E48" w:rsidRDefault="001B4B25" w:rsidP="001B4B25">
            <w:r>
              <w:t>Th</w:t>
            </w:r>
            <w:r w:rsidR="00070E48" w:rsidRPr="00070E48">
              <w:t xml:space="preserve">e Committee </w:t>
            </w:r>
            <w:r>
              <w:t>is asked to note n</w:t>
            </w:r>
            <w:r w:rsidR="00070E48" w:rsidRPr="00070E48">
              <w:t xml:space="preserve">ote the report. </w:t>
            </w:r>
          </w:p>
          <w:p w:rsidR="003E6A45" w:rsidRDefault="003E6A45" w:rsidP="00070E48"/>
        </w:tc>
      </w:tr>
    </w:tbl>
    <w:p w:rsidR="003C7D41" w:rsidRDefault="003C7D41">
      <w:pPr>
        <w:pStyle w:val="Header"/>
      </w:pPr>
    </w:p>
    <w:p w:rsidR="00772BBA" w:rsidRDefault="00772BBA" w:rsidP="00772BBA">
      <w:pPr>
        <w:rPr>
          <w:b/>
        </w:rPr>
      </w:pPr>
      <w:r>
        <w:rPr>
          <w:b/>
        </w:rPr>
        <w:t xml:space="preserve">Background and Advice </w:t>
      </w:r>
    </w:p>
    <w:p w:rsidR="00772BBA" w:rsidRDefault="00772BBA" w:rsidP="00772BBA">
      <w:pPr>
        <w:rPr>
          <w:b/>
        </w:rPr>
      </w:pPr>
    </w:p>
    <w:p w:rsidR="00BD4FD4" w:rsidRPr="00BD4FD4" w:rsidRDefault="00BD4FD4" w:rsidP="00BD4FD4">
      <w:pPr>
        <w:rPr>
          <w:b/>
        </w:rPr>
      </w:pPr>
    </w:p>
    <w:p w:rsidR="00BD4FD4" w:rsidRPr="00BD4FD4" w:rsidRDefault="00BD4FD4" w:rsidP="001B4B25">
      <w:pPr>
        <w:keepNext/>
        <w:spacing w:after="240"/>
        <w:outlineLvl w:val="0"/>
        <w:rPr>
          <w:b/>
          <w:bCs/>
        </w:rPr>
      </w:pPr>
      <w:r w:rsidRPr="00BD4FD4">
        <w:rPr>
          <w:b/>
          <w:bCs/>
        </w:rPr>
        <w:lastRenderedPageBreak/>
        <w:t>Shareholder Voting and Governance</w:t>
      </w:r>
    </w:p>
    <w:p w:rsidR="00DA54F4" w:rsidRPr="00453791" w:rsidRDefault="00BD4FD4" w:rsidP="001B4B25">
      <w:pPr>
        <w:keepNext/>
        <w:spacing w:after="240"/>
        <w:outlineLvl w:val="0"/>
        <w:rPr>
          <w:b/>
          <w:sz w:val="17"/>
          <w:szCs w:val="17"/>
        </w:rPr>
      </w:pPr>
      <w:r w:rsidRPr="00BD4FD4">
        <w:rPr>
          <w:bCs/>
        </w:rPr>
        <w:t xml:space="preserve">PIRC, acts as the Fund's proxy and casts the Fund's votes at shareholder meetings.  PIRC are instructed to vote in accordance with their guidelines unless the Fund instructs an exception.  PIRC analyses investee companies and produces publically available voting recommendations to encourage companies to adhere to high standards of governance and social responsibility.  </w:t>
      </w:r>
    </w:p>
    <w:p w:rsidR="00BD4FD4" w:rsidRPr="00BD4FD4" w:rsidRDefault="00BD4FD4" w:rsidP="001B4B25">
      <w:pPr>
        <w:keepNext/>
        <w:spacing w:after="240"/>
        <w:outlineLvl w:val="0"/>
        <w:rPr>
          <w:b/>
          <w:sz w:val="17"/>
          <w:szCs w:val="17"/>
        </w:rPr>
      </w:pPr>
      <w:r w:rsidRPr="00BD4FD4">
        <w:rPr>
          <w:bCs/>
        </w:rPr>
        <w:t xml:space="preserve">The analysis includes a review of the adequacy of environmental and employment policies and the disclosure of quantifiable environmental reporting.  PIRC is also an active supporter of the Stewardship Code, a code of practice published by the Financial Reporting Council with the aim of enhancing the quality of engagement between institutional investors and companies.  </w:t>
      </w:r>
    </w:p>
    <w:p w:rsidR="00BD4FD4" w:rsidRPr="00BD4FD4" w:rsidRDefault="00BD4FD4" w:rsidP="001B4B25">
      <w:pPr>
        <w:keepNext/>
        <w:spacing w:after="240"/>
        <w:outlineLvl w:val="0"/>
        <w:rPr>
          <w:b/>
        </w:rPr>
      </w:pPr>
      <w:r w:rsidRPr="00BD4FD4">
        <w:t xml:space="preserve">PIRC also lobbies actively on behalf of its investing clients as well as providing them with detailed support.  It works closely with NAPF (the National Association of Pension Funds) and LAPFF (the forum of Local Authority Pension Funds). The Lancashire County Pension Fund is a member of both these organisations. </w:t>
      </w:r>
    </w:p>
    <w:p w:rsidR="00BD4FD4" w:rsidRPr="00BD4FD4" w:rsidRDefault="00BD4FD4" w:rsidP="001B4B25">
      <w:pPr>
        <w:keepNext/>
        <w:spacing w:after="240"/>
        <w:outlineLvl w:val="0"/>
        <w:rPr>
          <w:bCs/>
        </w:rPr>
      </w:pPr>
      <w:r w:rsidRPr="00BD4FD4">
        <w:rPr>
          <w:bCs/>
        </w:rPr>
        <w:t xml:space="preserve">PIRC's quarterly report to 31 </w:t>
      </w:r>
      <w:r w:rsidR="00B72810" w:rsidRPr="00B72810">
        <w:rPr>
          <w:bCs/>
        </w:rPr>
        <w:t>March 2014</w:t>
      </w:r>
      <w:r w:rsidRPr="00BD4FD4">
        <w:rPr>
          <w:bCs/>
        </w:rPr>
        <w:t xml:space="preserve"> is presented at Appendix A.  This report not only provides details of the votes cast on behalf of the Fund but also provides a commentary on events during the period relevant to environmental social and governance issues.</w:t>
      </w:r>
      <w:r w:rsidR="00DA54F4">
        <w:rPr>
          <w:bCs/>
        </w:rPr>
        <w:t xml:space="preserve"> It should be noted that if the Fund so wished, it retains the ability to cast a vote which does not accord with PIRC's recommendations.</w:t>
      </w:r>
    </w:p>
    <w:p w:rsidR="00BD4FD4" w:rsidRPr="002949D5" w:rsidRDefault="00BD4FD4" w:rsidP="001B4B25">
      <w:pPr>
        <w:keepNext/>
        <w:spacing w:after="240"/>
        <w:outlineLvl w:val="0"/>
        <w:rPr>
          <w:bCs/>
        </w:rPr>
      </w:pPr>
      <w:r w:rsidRPr="002949D5">
        <w:rPr>
          <w:bCs/>
        </w:rPr>
        <w:t xml:space="preserve">The Fund's voting record using PIRC as its proxy for the three months ended 31 </w:t>
      </w:r>
      <w:r w:rsidR="002949D5" w:rsidRPr="002949D5">
        <w:rPr>
          <w:bCs/>
        </w:rPr>
        <w:t>March 2014</w:t>
      </w:r>
      <w:r w:rsidRPr="002949D5">
        <w:rPr>
          <w:bCs/>
        </w:rPr>
        <w:t xml:space="preserve"> is summarised below:</w:t>
      </w:r>
    </w:p>
    <w:p w:rsidR="00BD4FD4" w:rsidRPr="002949D5" w:rsidRDefault="00BD4FD4" w:rsidP="00BD4FD4">
      <w:pPr>
        <w:spacing w:after="240"/>
        <w:rPr>
          <w:rFonts w:cs="Arial"/>
          <w:b/>
          <w:sz w:val="22"/>
          <w:szCs w:val="22"/>
        </w:rPr>
      </w:pPr>
      <w:r w:rsidRPr="002949D5">
        <w:rPr>
          <w:rFonts w:cs="Arial"/>
          <w:b/>
          <w:sz w:val="22"/>
          <w:szCs w:val="22"/>
        </w:rPr>
        <w:t>GEOGRAPHIC VOTING OVERVIEW</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
      <w:tblGrid>
        <w:gridCol w:w="2044"/>
        <w:gridCol w:w="1041"/>
        <w:gridCol w:w="1133"/>
        <w:gridCol w:w="793"/>
        <w:gridCol w:w="989"/>
        <w:gridCol w:w="989"/>
        <w:gridCol w:w="1198"/>
        <w:gridCol w:w="1056"/>
      </w:tblGrid>
      <w:tr w:rsidR="002949D5" w:rsidRPr="00B036B2" w:rsidTr="00D124CD">
        <w:tc>
          <w:tcPr>
            <w:tcW w:w="1106" w:type="pct"/>
            <w:shd w:val="clear" w:color="auto" w:fill="8DB3E2"/>
          </w:tcPr>
          <w:p w:rsidR="002949D5" w:rsidRPr="00B036B2" w:rsidRDefault="002949D5" w:rsidP="00AB6974">
            <w:pPr>
              <w:pStyle w:val="BodyText"/>
              <w:jc w:val="center"/>
              <w:rPr>
                <w:rFonts w:cs="Arial"/>
                <w:szCs w:val="22"/>
              </w:rPr>
            </w:pPr>
            <w:r w:rsidRPr="00B036B2">
              <w:rPr>
                <w:rFonts w:cs="Arial"/>
                <w:sz w:val="22"/>
                <w:szCs w:val="22"/>
              </w:rPr>
              <w:t>Geographic Region</w:t>
            </w:r>
          </w:p>
        </w:tc>
        <w:tc>
          <w:tcPr>
            <w:tcW w:w="563" w:type="pct"/>
            <w:shd w:val="clear" w:color="auto" w:fill="8DB3E2"/>
          </w:tcPr>
          <w:p w:rsidR="002949D5" w:rsidRPr="00B036B2" w:rsidRDefault="002949D5" w:rsidP="00AB6974">
            <w:pPr>
              <w:pStyle w:val="BodyText"/>
              <w:jc w:val="center"/>
              <w:rPr>
                <w:rFonts w:cs="Arial"/>
                <w:szCs w:val="22"/>
              </w:rPr>
            </w:pPr>
            <w:r w:rsidRPr="00B036B2">
              <w:rPr>
                <w:rFonts w:cs="Arial"/>
                <w:sz w:val="22"/>
                <w:szCs w:val="22"/>
              </w:rPr>
              <w:t>Meeting</w:t>
            </w:r>
          </w:p>
        </w:tc>
        <w:tc>
          <w:tcPr>
            <w:tcW w:w="613" w:type="pct"/>
            <w:shd w:val="clear" w:color="auto" w:fill="8DB3E2"/>
          </w:tcPr>
          <w:p w:rsidR="002949D5" w:rsidRPr="002949D5" w:rsidRDefault="002949D5" w:rsidP="00AB6974">
            <w:pPr>
              <w:pStyle w:val="BodyText"/>
              <w:jc w:val="center"/>
              <w:rPr>
                <w:rFonts w:cs="Arial"/>
                <w:sz w:val="16"/>
                <w:szCs w:val="16"/>
              </w:rPr>
            </w:pPr>
            <w:r w:rsidRPr="002949D5">
              <w:rPr>
                <w:rFonts w:cs="Arial"/>
                <w:sz w:val="16"/>
                <w:szCs w:val="16"/>
              </w:rPr>
              <w:t>Resolutions</w:t>
            </w:r>
          </w:p>
        </w:tc>
        <w:tc>
          <w:tcPr>
            <w:tcW w:w="429" w:type="pct"/>
            <w:shd w:val="clear" w:color="auto" w:fill="8DB3E2"/>
          </w:tcPr>
          <w:p w:rsidR="002949D5" w:rsidRPr="00B036B2" w:rsidRDefault="002949D5" w:rsidP="00AB6974">
            <w:pPr>
              <w:pStyle w:val="BodyText"/>
              <w:jc w:val="center"/>
              <w:rPr>
                <w:rFonts w:cs="Arial"/>
                <w:szCs w:val="22"/>
              </w:rPr>
            </w:pPr>
            <w:r w:rsidRPr="00B036B2">
              <w:rPr>
                <w:rFonts w:cs="Arial"/>
                <w:sz w:val="22"/>
                <w:szCs w:val="22"/>
              </w:rPr>
              <w:t>For</w:t>
            </w:r>
          </w:p>
        </w:tc>
        <w:tc>
          <w:tcPr>
            <w:tcW w:w="535" w:type="pct"/>
            <w:shd w:val="clear" w:color="auto" w:fill="8DB3E2"/>
          </w:tcPr>
          <w:p w:rsidR="002949D5" w:rsidRPr="00B036B2" w:rsidRDefault="002949D5" w:rsidP="00AB6974">
            <w:pPr>
              <w:pStyle w:val="BodyText"/>
              <w:jc w:val="center"/>
              <w:rPr>
                <w:rFonts w:cs="Arial"/>
                <w:szCs w:val="22"/>
              </w:rPr>
            </w:pPr>
            <w:r w:rsidRPr="00B036B2">
              <w:rPr>
                <w:rFonts w:cs="Arial"/>
                <w:sz w:val="22"/>
                <w:szCs w:val="22"/>
              </w:rPr>
              <w:t>Oppose</w:t>
            </w:r>
          </w:p>
        </w:tc>
        <w:tc>
          <w:tcPr>
            <w:tcW w:w="535" w:type="pct"/>
            <w:shd w:val="clear" w:color="auto" w:fill="8DB3E2"/>
          </w:tcPr>
          <w:p w:rsidR="002949D5" w:rsidRPr="00B036B2" w:rsidRDefault="002949D5" w:rsidP="00AB6974">
            <w:pPr>
              <w:pStyle w:val="BodyText"/>
              <w:jc w:val="center"/>
              <w:rPr>
                <w:rFonts w:cs="Arial"/>
                <w:szCs w:val="22"/>
              </w:rPr>
            </w:pPr>
            <w:r w:rsidRPr="00B036B2">
              <w:rPr>
                <w:rFonts w:cs="Arial"/>
                <w:sz w:val="22"/>
                <w:szCs w:val="22"/>
              </w:rPr>
              <w:t>Abstain</w:t>
            </w:r>
          </w:p>
        </w:tc>
        <w:tc>
          <w:tcPr>
            <w:tcW w:w="648" w:type="pct"/>
            <w:shd w:val="clear" w:color="auto" w:fill="8DB3E2"/>
          </w:tcPr>
          <w:p w:rsidR="002949D5" w:rsidRPr="00B036B2" w:rsidRDefault="002949D5" w:rsidP="00AB6974">
            <w:pPr>
              <w:pStyle w:val="BodyText"/>
              <w:jc w:val="center"/>
              <w:rPr>
                <w:rFonts w:cs="Arial"/>
                <w:szCs w:val="22"/>
              </w:rPr>
            </w:pPr>
            <w:r w:rsidRPr="00B036B2">
              <w:rPr>
                <w:rFonts w:cs="Arial"/>
                <w:sz w:val="22"/>
                <w:szCs w:val="22"/>
              </w:rPr>
              <w:t>Withheld</w:t>
            </w:r>
          </w:p>
        </w:tc>
        <w:tc>
          <w:tcPr>
            <w:tcW w:w="571" w:type="pct"/>
            <w:shd w:val="clear" w:color="auto" w:fill="8DB3E2"/>
          </w:tcPr>
          <w:p w:rsidR="002949D5" w:rsidRPr="00B036B2" w:rsidRDefault="002949D5" w:rsidP="00AB6974">
            <w:pPr>
              <w:pStyle w:val="BodyText"/>
              <w:jc w:val="center"/>
              <w:rPr>
                <w:rFonts w:cs="Arial"/>
                <w:szCs w:val="22"/>
              </w:rPr>
            </w:pPr>
            <w:r w:rsidRPr="00B036B2">
              <w:rPr>
                <w:rFonts w:cs="Arial"/>
                <w:sz w:val="22"/>
                <w:szCs w:val="22"/>
              </w:rPr>
              <w:t>Non-Voting</w:t>
            </w:r>
          </w:p>
        </w:tc>
      </w:tr>
      <w:tr w:rsidR="00D124CD" w:rsidRPr="00B036B2" w:rsidTr="003C7D41">
        <w:tc>
          <w:tcPr>
            <w:tcW w:w="1106" w:type="pct"/>
          </w:tcPr>
          <w:p w:rsidR="002949D5" w:rsidRPr="00B036B2" w:rsidRDefault="002949D5" w:rsidP="00AB6974">
            <w:pPr>
              <w:pStyle w:val="BodyText"/>
              <w:rPr>
                <w:rFonts w:cs="Arial"/>
                <w:szCs w:val="22"/>
              </w:rPr>
            </w:pPr>
            <w:r w:rsidRPr="00B036B2">
              <w:rPr>
                <w:rFonts w:cs="Arial"/>
                <w:sz w:val="22"/>
                <w:szCs w:val="22"/>
              </w:rPr>
              <w:t>SOUTH AND CENTRAL AMERICA</w:t>
            </w:r>
          </w:p>
        </w:tc>
        <w:tc>
          <w:tcPr>
            <w:tcW w:w="563" w:type="pct"/>
            <w:vAlign w:val="center"/>
          </w:tcPr>
          <w:p w:rsidR="002949D5" w:rsidRPr="00B036B2" w:rsidRDefault="002949D5" w:rsidP="003C7D41">
            <w:pPr>
              <w:pStyle w:val="BodyText"/>
              <w:jc w:val="center"/>
              <w:rPr>
                <w:rFonts w:cs="Arial"/>
                <w:szCs w:val="22"/>
              </w:rPr>
            </w:pPr>
            <w:r w:rsidRPr="00B036B2">
              <w:rPr>
                <w:rFonts w:cs="Arial"/>
                <w:sz w:val="22"/>
                <w:szCs w:val="22"/>
              </w:rPr>
              <w:t>1</w:t>
            </w:r>
          </w:p>
        </w:tc>
        <w:tc>
          <w:tcPr>
            <w:tcW w:w="613" w:type="pct"/>
            <w:vAlign w:val="center"/>
          </w:tcPr>
          <w:p w:rsidR="002949D5" w:rsidRPr="00B036B2" w:rsidRDefault="002949D5" w:rsidP="003C7D41">
            <w:pPr>
              <w:pStyle w:val="BodyText"/>
              <w:jc w:val="center"/>
              <w:rPr>
                <w:rFonts w:cs="Arial"/>
                <w:szCs w:val="22"/>
              </w:rPr>
            </w:pPr>
            <w:r w:rsidRPr="00B036B2">
              <w:rPr>
                <w:rFonts w:cs="Arial"/>
                <w:sz w:val="22"/>
                <w:szCs w:val="22"/>
              </w:rPr>
              <w:t>3</w:t>
            </w:r>
          </w:p>
        </w:tc>
        <w:tc>
          <w:tcPr>
            <w:tcW w:w="429" w:type="pct"/>
            <w:vAlign w:val="center"/>
          </w:tcPr>
          <w:p w:rsidR="002949D5" w:rsidRPr="00B036B2" w:rsidRDefault="002949D5" w:rsidP="003C7D41">
            <w:pPr>
              <w:pStyle w:val="BodyText"/>
              <w:jc w:val="center"/>
              <w:rPr>
                <w:rFonts w:cs="Arial"/>
                <w:szCs w:val="22"/>
              </w:rPr>
            </w:pPr>
            <w:r w:rsidRPr="00B036B2">
              <w:rPr>
                <w:rFonts w:cs="Arial"/>
                <w:sz w:val="22"/>
                <w:szCs w:val="22"/>
              </w:rPr>
              <w:t>2</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1</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648"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571"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r>
      <w:tr w:rsidR="00D124CD" w:rsidRPr="00B036B2" w:rsidTr="003C7D41">
        <w:tc>
          <w:tcPr>
            <w:tcW w:w="1106" w:type="pct"/>
          </w:tcPr>
          <w:p w:rsidR="002949D5" w:rsidRPr="00B036B2" w:rsidRDefault="002949D5" w:rsidP="00AB6974">
            <w:pPr>
              <w:pStyle w:val="BodyText"/>
              <w:rPr>
                <w:rFonts w:cs="Arial"/>
                <w:szCs w:val="22"/>
              </w:rPr>
            </w:pPr>
            <w:r w:rsidRPr="00B036B2">
              <w:rPr>
                <w:rFonts w:cs="Arial"/>
                <w:sz w:val="22"/>
                <w:szCs w:val="22"/>
              </w:rPr>
              <w:t>REST OF THE WORLD</w:t>
            </w:r>
          </w:p>
        </w:tc>
        <w:tc>
          <w:tcPr>
            <w:tcW w:w="563"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613"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429"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648"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571"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r>
      <w:tr w:rsidR="00D124CD" w:rsidRPr="00B036B2" w:rsidTr="003C7D41">
        <w:tc>
          <w:tcPr>
            <w:tcW w:w="1106" w:type="pct"/>
          </w:tcPr>
          <w:p w:rsidR="002949D5" w:rsidRPr="00B036B2" w:rsidRDefault="002949D5" w:rsidP="00AB6974">
            <w:pPr>
              <w:pStyle w:val="BodyText"/>
              <w:rPr>
                <w:rFonts w:cs="Arial"/>
                <w:szCs w:val="22"/>
              </w:rPr>
            </w:pPr>
            <w:r w:rsidRPr="00B036B2">
              <w:rPr>
                <w:rFonts w:cs="Arial"/>
                <w:sz w:val="22"/>
                <w:szCs w:val="22"/>
              </w:rPr>
              <w:t>ASIA</w:t>
            </w:r>
          </w:p>
        </w:tc>
        <w:tc>
          <w:tcPr>
            <w:tcW w:w="563" w:type="pct"/>
            <w:vAlign w:val="center"/>
          </w:tcPr>
          <w:p w:rsidR="002949D5" w:rsidRPr="00B036B2" w:rsidRDefault="002949D5" w:rsidP="003C7D41">
            <w:pPr>
              <w:pStyle w:val="BodyText"/>
              <w:jc w:val="center"/>
              <w:rPr>
                <w:rFonts w:cs="Arial"/>
                <w:szCs w:val="22"/>
              </w:rPr>
            </w:pPr>
            <w:r w:rsidRPr="00B036B2">
              <w:rPr>
                <w:rFonts w:cs="Arial"/>
                <w:sz w:val="22"/>
                <w:szCs w:val="22"/>
              </w:rPr>
              <w:t>3</w:t>
            </w:r>
          </w:p>
        </w:tc>
        <w:tc>
          <w:tcPr>
            <w:tcW w:w="613" w:type="pct"/>
            <w:vAlign w:val="center"/>
          </w:tcPr>
          <w:p w:rsidR="002949D5" w:rsidRPr="00B036B2" w:rsidRDefault="002949D5" w:rsidP="003C7D41">
            <w:pPr>
              <w:pStyle w:val="BodyText"/>
              <w:jc w:val="center"/>
              <w:rPr>
                <w:rFonts w:cs="Arial"/>
                <w:szCs w:val="22"/>
              </w:rPr>
            </w:pPr>
            <w:r w:rsidRPr="00B036B2">
              <w:rPr>
                <w:rFonts w:cs="Arial"/>
                <w:sz w:val="22"/>
                <w:szCs w:val="22"/>
              </w:rPr>
              <w:t>13</w:t>
            </w:r>
          </w:p>
        </w:tc>
        <w:tc>
          <w:tcPr>
            <w:tcW w:w="429" w:type="pct"/>
            <w:vAlign w:val="center"/>
          </w:tcPr>
          <w:p w:rsidR="002949D5" w:rsidRPr="00B036B2" w:rsidRDefault="002949D5" w:rsidP="003C7D41">
            <w:pPr>
              <w:pStyle w:val="BodyText"/>
              <w:jc w:val="center"/>
              <w:rPr>
                <w:rFonts w:cs="Arial"/>
                <w:szCs w:val="22"/>
              </w:rPr>
            </w:pPr>
            <w:r w:rsidRPr="00B036B2">
              <w:rPr>
                <w:rFonts w:cs="Arial"/>
                <w:sz w:val="22"/>
                <w:szCs w:val="22"/>
              </w:rPr>
              <w:t>1</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12</w:t>
            </w:r>
          </w:p>
        </w:tc>
        <w:tc>
          <w:tcPr>
            <w:tcW w:w="648"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571"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r>
      <w:tr w:rsidR="00D124CD" w:rsidRPr="00B036B2" w:rsidTr="003C7D41">
        <w:tc>
          <w:tcPr>
            <w:tcW w:w="1106" w:type="pct"/>
          </w:tcPr>
          <w:p w:rsidR="002949D5" w:rsidRPr="00B036B2" w:rsidRDefault="002949D5" w:rsidP="00AB6974">
            <w:pPr>
              <w:pStyle w:val="BodyText"/>
              <w:rPr>
                <w:rFonts w:cs="Arial"/>
                <w:szCs w:val="22"/>
              </w:rPr>
            </w:pPr>
            <w:r w:rsidRPr="00B036B2">
              <w:rPr>
                <w:rFonts w:cs="Arial"/>
                <w:sz w:val="22"/>
                <w:szCs w:val="22"/>
              </w:rPr>
              <w:t>NORTH AMERICA</w:t>
            </w:r>
          </w:p>
        </w:tc>
        <w:tc>
          <w:tcPr>
            <w:tcW w:w="563" w:type="pct"/>
            <w:vAlign w:val="center"/>
          </w:tcPr>
          <w:p w:rsidR="002949D5" w:rsidRPr="00B036B2" w:rsidRDefault="002949D5" w:rsidP="003C7D41">
            <w:pPr>
              <w:pStyle w:val="BodyText"/>
              <w:jc w:val="center"/>
              <w:rPr>
                <w:rFonts w:cs="Arial"/>
                <w:szCs w:val="22"/>
              </w:rPr>
            </w:pPr>
            <w:r w:rsidRPr="00B036B2">
              <w:rPr>
                <w:rFonts w:cs="Arial"/>
                <w:sz w:val="22"/>
                <w:szCs w:val="22"/>
              </w:rPr>
              <w:t>18</w:t>
            </w:r>
          </w:p>
        </w:tc>
        <w:tc>
          <w:tcPr>
            <w:tcW w:w="613" w:type="pct"/>
            <w:vAlign w:val="center"/>
          </w:tcPr>
          <w:p w:rsidR="002949D5" w:rsidRPr="00B036B2" w:rsidRDefault="002949D5" w:rsidP="003C7D41">
            <w:pPr>
              <w:pStyle w:val="BodyText"/>
              <w:jc w:val="center"/>
              <w:rPr>
                <w:rFonts w:cs="Arial"/>
                <w:szCs w:val="22"/>
              </w:rPr>
            </w:pPr>
            <w:r w:rsidRPr="00B036B2">
              <w:rPr>
                <w:rFonts w:cs="Arial"/>
                <w:sz w:val="22"/>
                <w:szCs w:val="22"/>
              </w:rPr>
              <w:t>253</w:t>
            </w:r>
          </w:p>
        </w:tc>
        <w:tc>
          <w:tcPr>
            <w:tcW w:w="429" w:type="pct"/>
            <w:vAlign w:val="center"/>
          </w:tcPr>
          <w:p w:rsidR="002949D5" w:rsidRPr="00B036B2" w:rsidRDefault="002949D5" w:rsidP="003C7D41">
            <w:pPr>
              <w:pStyle w:val="BodyText"/>
              <w:jc w:val="center"/>
              <w:rPr>
                <w:rFonts w:cs="Arial"/>
                <w:szCs w:val="22"/>
              </w:rPr>
            </w:pPr>
            <w:r w:rsidRPr="00B036B2">
              <w:rPr>
                <w:rFonts w:cs="Arial"/>
                <w:sz w:val="22"/>
                <w:szCs w:val="22"/>
              </w:rPr>
              <w:t>146</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82</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7</w:t>
            </w:r>
          </w:p>
        </w:tc>
        <w:tc>
          <w:tcPr>
            <w:tcW w:w="648" w:type="pct"/>
            <w:vAlign w:val="center"/>
          </w:tcPr>
          <w:p w:rsidR="002949D5" w:rsidRPr="00B036B2" w:rsidRDefault="002949D5" w:rsidP="003C7D41">
            <w:pPr>
              <w:pStyle w:val="BodyText"/>
              <w:jc w:val="center"/>
              <w:rPr>
                <w:rFonts w:cs="Arial"/>
                <w:szCs w:val="22"/>
              </w:rPr>
            </w:pPr>
            <w:r w:rsidRPr="00B036B2">
              <w:rPr>
                <w:rFonts w:cs="Arial"/>
                <w:sz w:val="22"/>
                <w:szCs w:val="22"/>
              </w:rPr>
              <w:t>17</w:t>
            </w:r>
          </w:p>
        </w:tc>
        <w:tc>
          <w:tcPr>
            <w:tcW w:w="571"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r>
      <w:tr w:rsidR="00D124CD" w:rsidRPr="00B036B2" w:rsidTr="003C7D41">
        <w:tc>
          <w:tcPr>
            <w:tcW w:w="1106" w:type="pct"/>
          </w:tcPr>
          <w:p w:rsidR="002949D5" w:rsidRPr="00B036B2" w:rsidRDefault="002949D5" w:rsidP="00AB6974">
            <w:pPr>
              <w:pStyle w:val="BodyText"/>
              <w:rPr>
                <w:rFonts w:cs="Arial"/>
                <w:szCs w:val="22"/>
              </w:rPr>
            </w:pPr>
            <w:r w:rsidRPr="00B036B2">
              <w:rPr>
                <w:rFonts w:cs="Arial"/>
                <w:sz w:val="22"/>
                <w:szCs w:val="22"/>
              </w:rPr>
              <w:t>UK</w:t>
            </w:r>
          </w:p>
        </w:tc>
        <w:tc>
          <w:tcPr>
            <w:tcW w:w="563" w:type="pct"/>
            <w:vAlign w:val="center"/>
          </w:tcPr>
          <w:p w:rsidR="002949D5" w:rsidRPr="00B036B2" w:rsidRDefault="002949D5" w:rsidP="003C7D41">
            <w:pPr>
              <w:pStyle w:val="BodyText"/>
              <w:jc w:val="center"/>
              <w:rPr>
                <w:rFonts w:cs="Arial"/>
                <w:szCs w:val="22"/>
              </w:rPr>
            </w:pPr>
            <w:r w:rsidRPr="00B036B2">
              <w:rPr>
                <w:rFonts w:cs="Arial"/>
                <w:sz w:val="22"/>
                <w:szCs w:val="22"/>
              </w:rPr>
              <w:t>4</w:t>
            </w:r>
          </w:p>
        </w:tc>
        <w:tc>
          <w:tcPr>
            <w:tcW w:w="613" w:type="pct"/>
            <w:vAlign w:val="center"/>
          </w:tcPr>
          <w:p w:rsidR="002949D5" w:rsidRPr="00B036B2" w:rsidRDefault="002949D5" w:rsidP="003C7D41">
            <w:pPr>
              <w:pStyle w:val="BodyText"/>
              <w:jc w:val="center"/>
              <w:rPr>
                <w:rFonts w:cs="Arial"/>
                <w:szCs w:val="22"/>
              </w:rPr>
            </w:pPr>
            <w:r w:rsidRPr="00B036B2">
              <w:rPr>
                <w:rFonts w:cs="Arial"/>
                <w:sz w:val="22"/>
                <w:szCs w:val="22"/>
              </w:rPr>
              <w:t>41</w:t>
            </w:r>
          </w:p>
        </w:tc>
        <w:tc>
          <w:tcPr>
            <w:tcW w:w="429" w:type="pct"/>
            <w:vAlign w:val="center"/>
          </w:tcPr>
          <w:p w:rsidR="002949D5" w:rsidRPr="00B036B2" w:rsidRDefault="002949D5" w:rsidP="003C7D41">
            <w:pPr>
              <w:pStyle w:val="BodyText"/>
              <w:jc w:val="center"/>
              <w:rPr>
                <w:rFonts w:cs="Arial"/>
                <w:szCs w:val="22"/>
              </w:rPr>
            </w:pPr>
            <w:r w:rsidRPr="00B036B2">
              <w:rPr>
                <w:rFonts w:cs="Arial"/>
                <w:sz w:val="22"/>
                <w:szCs w:val="22"/>
              </w:rPr>
              <w:t>36</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2</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3</w:t>
            </w:r>
          </w:p>
        </w:tc>
        <w:tc>
          <w:tcPr>
            <w:tcW w:w="648"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571"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r>
      <w:tr w:rsidR="00D124CD" w:rsidRPr="00B036B2" w:rsidTr="003C7D41">
        <w:tc>
          <w:tcPr>
            <w:tcW w:w="1106" w:type="pct"/>
          </w:tcPr>
          <w:p w:rsidR="002949D5" w:rsidRPr="00B036B2" w:rsidRDefault="002949D5" w:rsidP="00AB6974">
            <w:pPr>
              <w:pStyle w:val="BodyText"/>
              <w:rPr>
                <w:rFonts w:cs="Arial"/>
                <w:szCs w:val="22"/>
              </w:rPr>
            </w:pPr>
            <w:r w:rsidRPr="00B036B2">
              <w:rPr>
                <w:rFonts w:cs="Arial"/>
                <w:sz w:val="22"/>
                <w:szCs w:val="22"/>
              </w:rPr>
              <w:t>EU</w:t>
            </w:r>
          </w:p>
        </w:tc>
        <w:tc>
          <w:tcPr>
            <w:tcW w:w="563" w:type="pct"/>
            <w:vAlign w:val="center"/>
          </w:tcPr>
          <w:p w:rsidR="002949D5" w:rsidRPr="00B036B2" w:rsidRDefault="002949D5" w:rsidP="003C7D41">
            <w:pPr>
              <w:pStyle w:val="BodyText"/>
              <w:jc w:val="center"/>
              <w:rPr>
                <w:rFonts w:cs="Arial"/>
                <w:szCs w:val="22"/>
              </w:rPr>
            </w:pPr>
            <w:r w:rsidRPr="00B036B2">
              <w:rPr>
                <w:rFonts w:cs="Arial"/>
                <w:sz w:val="22"/>
                <w:szCs w:val="22"/>
              </w:rPr>
              <w:t>7</w:t>
            </w:r>
          </w:p>
        </w:tc>
        <w:tc>
          <w:tcPr>
            <w:tcW w:w="613" w:type="pct"/>
            <w:vAlign w:val="center"/>
          </w:tcPr>
          <w:p w:rsidR="002949D5" w:rsidRPr="00B036B2" w:rsidRDefault="002949D5" w:rsidP="003C7D41">
            <w:pPr>
              <w:pStyle w:val="BodyText"/>
              <w:jc w:val="center"/>
              <w:rPr>
                <w:rFonts w:cs="Arial"/>
                <w:szCs w:val="22"/>
              </w:rPr>
            </w:pPr>
            <w:r w:rsidRPr="00B036B2">
              <w:rPr>
                <w:rFonts w:cs="Arial"/>
                <w:sz w:val="22"/>
                <w:szCs w:val="22"/>
              </w:rPr>
              <w:t>184</w:t>
            </w:r>
          </w:p>
        </w:tc>
        <w:tc>
          <w:tcPr>
            <w:tcW w:w="429" w:type="pct"/>
            <w:vAlign w:val="center"/>
          </w:tcPr>
          <w:p w:rsidR="002949D5" w:rsidRPr="00B036B2" w:rsidRDefault="002949D5" w:rsidP="003C7D41">
            <w:pPr>
              <w:pStyle w:val="BodyText"/>
              <w:jc w:val="center"/>
              <w:rPr>
                <w:rFonts w:cs="Arial"/>
                <w:szCs w:val="22"/>
              </w:rPr>
            </w:pPr>
            <w:r w:rsidRPr="00B036B2">
              <w:rPr>
                <w:rFonts w:cs="Arial"/>
                <w:sz w:val="22"/>
                <w:szCs w:val="22"/>
              </w:rPr>
              <w:t>91</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51</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25</w:t>
            </w:r>
          </w:p>
        </w:tc>
        <w:tc>
          <w:tcPr>
            <w:tcW w:w="648"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571" w:type="pct"/>
            <w:vAlign w:val="center"/>
          </w:tcPr>
          <w:p w:rsidR="002949D5" w:rsidRPr="00B036B2" w:rsidRDefault="002949D5" w:rsidP="003C7D41">
            <w:pPr>
              <w:pStyle w:val="BodyText"/>
              <w:jc w:val="center"/>
              <w:rPr>
                <w:rFonts w:cs="Arial"/>
                <w:szCs w:val="22"/>
              </w:rPr>
            </w:pPr>
            <w:r w:rsidRPr="00B036B2">
              <w:rPr>
                <w:rFonts w:cs="Arial"/>
                <w:sz w:val="22"/>
                <w:szCs w:val="22"/>
              </w:rPr>
              <w:t>17</w:t>
            </w:r>
          </w:p>
        </w:tc>
      </w:tr>
      <w:tr w:rsidR="00D124CD" w:rsidRPr="00B036B2" w:rsidTr="003C7D41">
        <w:tc>
          <w:tcPr>
            <w:tcW w:w="1106" w:type="pct"/>
          </w:tcPr>
          <w:p w:rsidR="002949D5" w:rsidRPr="00B036B2" w:rsidRDefault="002949D5" w:rsidP="00AB6974">
            <w:pPr>
              <w:pStyle w:val="BodyText"/>
              <w:rPr>
                <w:rFonts w:cs="Arial"/>
                <w:szCs w:val="22"/>
              </w:rPr>
            </w:pPr>
            <w:r w:rsidRPr="00B036B2">
              <w:rPr>
                <w:rFonts w:cs="Arial"/>
                <w:sz w:val="22"/>
                <w:szCs w:val="22"/>
              </w:rPr>
              <w:t>JAPAN</w:t>
            </w:r>
          </w:p>
        </w:tc>
        <w:tc>
          <w:tcPr>
            <w:tcW w:w="563" w:type="pct"/>
            <w:vAlign w:val="center"/>
          </w:tcPr>
          <w:p w:rsidR="002949D5" w:rsidRPr="00B036B2" w:rsidRDefault="002949D5" w:rsidP="003C7D41">
            <w:pPr>
              <w:pStyle w:val="BodyText"/>
              <w:jc w:val="center"/>
              <w:rPr>
                <w:rFonts w:cs="Arial"/>
                <w:szCs w:val="22"/>
              </w:rPr>
            </w:pPr>
            <w:r w:rsidRPr="00B036B2">
              <w:rPr>
                <w:rFonts w:cs="Arial"/>
                <w:sz w:val="22"/>
                <w:szCs w:val="22"/>
              </w:rPr>
              <w:t>2</w:t>
            </w:r>
          </w:p>
        </w:tc>
        <w:tc>
          <w:tcPr>
            <w:tcW w:w="613" w:type="pct"/>
            <w:vAlign w:val="center"/>
          </w:tcPr>
          <w:p w:rsidR="002949D5" w:rsidRPr="00B036B2" w:rsidRDefault="002949D5" w:rsidP="003C7D41">
            <w:pPr>
              <w:pStyle w:val="BodyText"/>
              <w:jc w:val="center"/>
              <w:rPr>
                <w:rFonts w:cs="Arial"/>
                <w:szCs w:val="22"/>
              </w:rPr>
            </w:pPr>
            <w:r w:rsidRPr="00B036B2">
              <w:rPr>
                <w:rFonts w:cs="Arial"/>
                <w:sz w:val="22"/>
                <w:szCs w:val="22"/>
              </w:rPr>
              <w:t>41</w:t>
            </w:r>
          </w:p>
        </w:tc>
        <w:tc>
          <w:tcPr>
            <w:tcW w:w="429" w:type="pct"/>
            <w:vAlign w:val="center"/>
          </w:tcPr>
          <w:p w:rsidR="002949D5" w:rsidRPr="00B036B2" w:rsidRDefault="002949D5" w:rsidP="003C7D41">
            <w:pPr>
              <w:pStyle w:val="BodyText"/>
              <w:jc w:val="center"/>
              <w:rPr>
                <w:rFonts w:cs="Arial"/>
                <w:szCs w:val="22"/>
              </w:rPr>
            </w:pPr>
            <w:r w:rsidRPr="00B036B2">
              <w:rPr>
                <w:rFonts w:cs="Arial"/>
                <w:sz w:val="22"/>
                <w:szCs w:val="22"/>
              </w:rPr>
              <w:t>38</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3</w:t>
            </w:r>
          </w:p>
        </w:tc>
        <w:tc>
          <w:tcPr>
            <w:tcW w:w="535"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648"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c>
          <w:tcPr>
            <w:tcW w:w="571" w:type="pct"/>
            <w:vAlign w:val="center"/>
          </w:tcPr>
          <w:p w:rsidR="002949D5" w:rsidRPr="00B036B2" w:rsidRDefault="002949D5" w:rsidP="003C7D41">
            <w:pPr>
              <w:pStyle w:val="BodyText"/>
              <w:jc w:val="center"/>
              <w:rPr>
                <w:rFonts w:cs="Arial"/>
                <w:szCs w:val="22"/>
              </w:rPr>
            </w:pPr>
            <w:r w:rsidRPr="00B036B2">
              <w:rPr>
                <w:rFonts w:cs="Arial"/>
                <w:sz w:val="22"/>
                <w:szCs w:val="22"/>
              </w:rPr>
              <w:t>0</w:t>
            </w:r>
          </w:p>
        </w:tc>
      </w:tr>
    </w:tbl>
    <w:p w:rsidR="002949D5" w:rsidRDefault="002949D5" w:rsidP="002949D5">
      <w:pPr>
        <w:rPr>
          <w:rFonts w:cs="Arial"/>
          <w:sz w:val="22"/>
          <w:szCs w:val="22"/>
        </w:rPr>
      </w:pPr>
    </w:p>
    <w:p w:rsidR="002949D5" w:rsidRDefault="002949D5" w:rsidP="002949D5">
      <w:pPr>
        <w:rPr>
          <w:rFonts w:cs="Arial"/>
          <w:sz w:val="22"/>
          <w:szCs w:val="22"/>
        </w:rPr>
      </w:pPr>
    </w:p>
    <w:p w:rsidR="001B4B25" w:rsidRDefault="001B4B25" w:rsidP="002949D5">
      <w:pPr>
        <w:rPr>
          <w:rFonts w:cs="Arial"/>
          <w:sz w:val="22"/>
          <w:szCs w:val="22"/>
        </w:rPr>
      </w:pPr>
    </w:p>
    <w:p w:rsidR="001B4B25" w:rsidRDefault="001B4B25" w:rsidP="002949D5">
      <w:pPr>
        <w:rPr>
          <w:rFonts w:cs="Arial"/>
          <w:sz w:val="22"/>
          <w:szCs w:val="22"/>
        </w:rPr>
      </w:pPr>
    </w:p>
    <w:p w:rsidR="001B4B25" w:rsidRDefault="001B4B25" w:rsidP="002949D5">
      <w:pPr>
        <w:rPr>
          <w:rFonts w:cs="Arial"/>
          <w:sz w:val="22"/>
          <w:szCs w:val="22"/>
        </w:rPr>
      </w:pPr>
    </w:p>
    <w:p w:rsidR="001B4B25" w:rsidRDefault="001B4B25" w:rsidP="002949D5">
      <w:pPr>
        <w:rPr>
          <w:rFonts w:cs="Arial"/>
          <w:sz w:val="22"/>
          <w:szCs w:val="22"/>
        </w:rPr>
      </w:pPr>
    </w:p>
    <w:p w:rsidR="001B4B25" w:rsidRDefault="001B4B25" w:rsidP="002949D5">
      <w:pPr>
        <w:rPr>
          <w:rFonts w:cs="Arial"/>
          <w:sz w:val="22"/>
          <w:szCs w:val="22"/>
        </w:rPr>
      </w:pPr>
    </w:p>
    <w:p w:rsidR="001B4B25" w:rsidRDefault="001B4B25" w:rsidP="002949D5">
      <w:pPr>
        <w:rPr>
          <w:rFonts w:cs="Arial"/>
          <w:sz w:val="22"/>
          <w:szCs w:val="22"/>
        </w:rPr>
      </w:pPr>
    </w:p>
    <w:p w:rsidR="001B4B25" w:rsidRDefault="001B4B25" w:rsidP="002949D5">
      <w:pPr>
        <w:rPr>
          <w:rFonts w:cs="Arial"/>
          <w:sz w:val="22"/>
          <w:szCs w:val="22"/>
        </w:rPr>
      </w:pPr>
    </w:p>
    <w:p w:rsidR="001B4B25" w:rsidRDefault="001B4B25" w:rsidP="002949D5">
      <w:pPr>
        <w:rPr>
          <w:rFonts w:cs="Arial"/>
          <w:sz w:val="22"/>
          <w:szCs w:val="22"/>
        </w:rPr>
      </w:pPr>
    </w:p>
    <w:p w:rsidR="00453791" w:rsidRPr="00B036B2" w:rsidRDefault="00453791" w:rsidP="002949D5">
      <w:pPr>
        <w:rPr>
          <w:rFonts w:cs="Arial"/>
          <w:sz w:val="22"/>
          <w:szCs w:val="22"/>
        </w:rPr>
      </w:pPr>
    </w:p>
    <w:p w:rsidR="002949D5" w:rsidRPr="00B036B2" w:rsidRDefault="002949D5" w:rsidP="00921195">
      <w:pPr>
        <w:spacing w:after="240"/>
        <w:rPr>
          <w:rFonts w:cs="Arial"/>
          <w:b/>
          <w:sz w:val="22"/>
          <w:szCs w:val="22"/>
        </w:rPr>
      </w:pPr>
      <w:r w:rsidRPr="00B036B2">
        <w:rPr>
          <w:rFonts w:cs="Arial"/>
          <w:b/>
          <w:sz w:val="22"/>
          <w:szCs w:val="22"/>
        </w:rPr>
        <w:lastRenderedPageBreak/>
        <w:t>ANALYSIS OF UK ALLSHARE VOTING RECOMMENDATIONS</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
      <w:tblGrid>
        <w:gridCol w:w="1841"/>
        <w:gridCol w:w="1216"/>
        <w:gridCol w:w="984"/>
        <w:gridCol w:w="1038"/>
        <w:gridCol w:w="1284"/>
        <w:gridCol w:w="851"/>
        <w:gridCol w:w="1116"/>
        <w:gridCol w:w="913"/>
      </w:tblGrid>
      <w:tr w:rsidR="002949D5" w:rsidRPr="00B036B2" w:rsidTr="002949D5">
        <w:tc>
          <w:tcPr>
            <w:tcW w:w="1841" w:type="dxa"/>
            <w:vMerge w:val="restart"/>
            <w:shd w:val="clear" w:color="auto" w:fill="8DB3E2"/>
          </w:tcPr>
          <w:p w:rsidR="002949D5" w:rsidRPr="00B036B2" w:rsidRDefault="002949D5" w:rsidP="00AB6974">
            <w:pPr>
              <w:pStyle w:val="BodyText"/>
              <w:jc w:val="center"/>
              <w:rPr>
                <w:rFonts w:cs="Arial"/>
                <w:szCs w:val="22"/>
              </w:rPr>
            </w:pPr>
            <w:r w:rsidRPr="00B036B2">
              <w:rPr>
                <w:rFonts w:cs="Arial"/>
                <w:sz w:val="22"/>
                <w:szCs w:val="22"/>
              </w:rPr>
              <w:t>Resolution Type</w:t>
            </w:r>
          </w:p>
        </w:tc>
        <w:tc>
          <w:tcPr>
            <w:tcW w:w="2200" w:type="dxa"/>
            <w:gridSpan w:val="2"/>
            <w:shd w:val="clear" w:color="auto" w:fill="8DB3E2"/>
          </w:tcPr>
          <w:p w:rsidR="002949D5" w:rsidRPr="00B036B2" w:rsidRDefault="002949D5" w:rsidP="002949D5">
            <w:pPr>
              <w:pStyle w:val="BodyText"/>
              <w:jc w:val="center"/>
              <w:rPr>
                <w:rFonts w:cs="Arial"/>
                <w:szCs w:val="22"/>
              </w:rPr>
            </w:pPr>
            <w:r w:rsidRPr="00B036B2">
              <w:rPr>
                <w:rFonts w:cs="Arial"/>
                <w:sz w:val="22"/>
                <w:szCs w:val="22"/>
              </w:rPr>
              <w:t>For</w:t>
            </w:r>
          </w:p>
        </w:tc>
        <w:tc>
          <w:tcPr>
            <w:tcW w:w="2322" w:type="dxa"/>
            <w:gridSpan w:val="2"/>
            <w:shd w:val="clear" w:color="auto" w:fill="8DB3E2"/>
          </w:tcPr>
          <w:p w:rsidR="002949D5" w:rsidRPr="00B036B2" w:rsidRDefault="002949D5" w:rsidP="002949D5">
            <w:pPr>
              <w:pStyle w:val="BodyText"/>
              <w:jc w:val="center"/>
              <w:rPr>
                <w:rFonts w:cs="Arial"/>
                <w:szCs w:val="22"/>
              </w:rPr>
            </w:pPr>
            <w:r w:rsidRPr="00B036B2">
              <w:rPr>
                <w:rFonts w:cs="Arial"/>
                <w:sz w:val="22"/>
                <w:szCs w:val="22"/>
              </w:rPr>
              <w:t>Abstain</w:t>
            </w:r>
          </w:p>
        </w:tc>
        <w:tc>
          <w:tcPr>
            <w:tcW w:w="1967" w:type="dxa"/>
            <w:gridSpan w:val="2"/>
            <w:shd w:val="clear" w:color="auto" w:fill="8DB3E2"/>
          </w:tcPr>
          <w:p w:rsidR="002949D5" w:rsidRPr="00B036B2" w:rsidRDefault="002949D5" w:rsidP="002949D5">
            <w:pPr>
              <w:pStyle w:val="BodyText"/>
              <w:jc w:val="center"/>
              <w:rPr>
                <w:rFonts w:cs="Arial"/>
                <w:szCs w:val="22"/>
              </w:rPr>
            </w:pPr>
            <w:r w:rsidRPr="00B036B2">
              <w:rPr>
                <w:rFonts w:cs="Arial"/>
                <w:sz w:val="22"/>
                <w:szCs w:val="22"/>
              </w:rPr>
              <w:t>Oppose</w:t>
            </w:r>
          </w:p>
        </w:tc>
        <w:tc>
          <w:tcPr>
            <w:tcW w:w="913" w:type="dxa"/>
            <w:shd w:val="clear" w:color="auto" w:fill="8DB3E2"/>
          </w:tcPr>
          <w:p w:rsidR="002949D5" w:rsidRPr="00B036B2" w:rsidRDefault="002949D5" w:rsidP="00AB6974">
            <w:pPr>
              <w:pStyle w:val="BodyText"/>
              <w:jc w:val="center"/>
              <w:rPr>
                <w:rFonts w:cs="Arial"/>
                <w:szCs w:val="22"/>
              </w:rPr>
            </w:pPr>
            <w:r w:rsidRPr="00B036B2">
              <w:rPr>
                <w:rFonts w:cs="Arial"/>
                <w:sz w:val="22"/>
                <w:szCs w:val="22"/>
              </w:rPr>
              <w:t>Total</w:t>
            </w:r>
          </w:p>
        </w:tc>
      </w:tr>
      <w:tr w:rsidR="002949D5" w:rsidRPr="00B036B2" w:rsidTr="002949D5">
        <w:tc>
          <w:tcPr>
            <w:tcW w:w="1841" w:type="dxa"/>
            <w:vMerge/>
            <w:shd w:val="clear" w:color="auto" w:fill="8DB3E2"/>
          </w:tcPr>
          <w:p w:rsidR="002949D5" w:rsidRPr="00B036B2" w:rsidRDefault="002949D5" w:rsidP="00AB6974">
            <w:pPr>
              <w:pStyle w:val="BodyText"/>
              <w:rPr>
                <w:rFonts w:cs="Arial"/>
                <w:sz w:val="22"/>
                <w:szCs w:val="22"/>
              </w:rPr>
            </w:pPr>
          </w:p>
        </w:tc>
        <w:tc>
          <w:tcPr>
            <w:tcW w:w="1216" w:type="dxa"/>
            <w:shd w:val="clear" w:color="auto" w:fill="8DB3E2"/>
          </w:tcPr>
          <w:p w:rsidR="002949D5" w:rsidRPr="00B036B2" w:rsidRDefault="002949D5" w:rsidP="002949D5">
            <w:pPr>
              <w:pStyle w:val="BodyText"/>
              <w:jc w:val="center"/>
              <w:rPr>
                <w:rFonts w:cs="Arial"/>
                <w:sz w:val="22"/>
                <w:szCs w:val="22"/>
              </w:rPr>
            </w:pPr>
            <w:r>
              <w:rPr>
                <w:rFonts w:cs="Arial"/>
                <w:sz w:val="22"/>
                <w:szCs w:val="22"/>
              </w:rPr>
              <w:t>No.</w:t>
            </w:r>
          </w:p>
        </w:tc>
        <w:tc>
          <w:tcPr>
            <w:tcW w:w="984" w:type="dxa"/>
            <w:shd w:val="clear" w:color="auto" w:fill="8DB3E2"/>
          </w:tcPr>
          <w:p w:rsidR="002949D5" w:rsidRPr="00B036B2" w:rsidRDefault="002949D5" w:rsidP="002949D5">
            <w:pPr>
              <w:pStyle w:val="BodyText"/>
              <w:jc w:val="center"/>
              <w:rPr>
                <w:rFonts w:cs="Arial"/>
                <w:sz w:val="22"/>
                <w:szCs w:val="22"/>
              </w:rPr>
            </w:pPr>
            <w:r>
              <w:rPr>
                <w:rFonts w:cs="Arial"/>
                <w:sz w:val="22"/>
                <w:szCs w:val="22"/>
              </w:rPr>
              <w:t>%</w:t>
            </w:r>
          </w:p>
        </w:tc>
        <w:tc>
          <w:tcPr>
            <w:tcW w:w="1038" w:type="dxa"/>
            <w:shd w:val="clear" w:color="auto" w:fill="8DB3E2"/>
          </w:tcPr>
          <w:p w:rsidR="002949D5" w:rsidRPr="00B036B2" w:rsidRDefault="002949D5" w:rsidP="002949D5">
            <w:pPr>
              <w:pStyle w:val="BodyText"/>
              <w:jc w:val="center"/>
              <w:rPr>
                <w:rFonts w:cs="Arial"/>
                <w:sz w:val="22"/>
                <w:szCs w:val="22"/>
              </w:rPr>
            </w:pPr>
            <w:r>
              <w:rPr>
                <w:rFonts w:cs="Arial"/>
                <w:sz w:val="22"/>
                <w:szCs w:val="22"/>
              </w:rPr>
              <w:t>No.</w:t>
            </w:r>
          </w:p>
        </w:tc>
        <w:tc>
          <w:tcPr>
            <w:tcW w:w="1284" w:type="dxa"/>
            <w:shd w:val="clear" w:color="auto" w:fill="8DB3E2"/>
          </w:tcPr>
          <w:p w:rsidR="002949D5" w:rsidRPr="00B036B2" w:rsidRDefault="002949D5" w:rsidP="002949D5">
            <w:pPr>
              <w:pStyle w:val="BodyText"/>
              <w:jc w:val="center"/>
              <w:rPr>
                <w:rFonts w:cs="Arial"/>
                <w:sz w:val="22"/>
                <w:szCs w:val="22"/>
              </w:rPr>
            </w:pPr>
            <w:r>
              <w:rPr>
                <w:rFonts w:cs="Arial"/>
                <w:sz w:val="22"/>
                <w:szCs w:val="22"/>
              </w:rPr>
              <w:t>%</w:t>
            </w:r>
          </w:p>
        </w:tc>
        <w:tc>
          <w:tcPr>
            <w:tcW w:w="851" w:type="dxa"/>
            <w:shd w:val="clear" w:color="auto" w:fill="8DB3E2"/>
          </w:tcPr>
          <w:p w:rsidR="002949D5" w:rsidRPr="00B036B2" w:rsidRDefault="002949D5" w:rsidP="002949D5">
            <w:pPr>
              <w:pStyle w:val="BodyText"/>
              <w:jc w:val="center"/>
              <w:rPr>
                <w:rFonts w:cs="Arial"/>
                <w:sz w:val="22"/>
                <w:szCs w:val="22"/>
              </w:rPr>
            </w:pPr>
            <w:r>
              <w:rPr>
                <w:rFonts w:cs="Arial"/>
                <w:sz w:val="22"/>
                <w:szCs w:val="22"/>
              </w:rPr>
              <w:t>No.</w:t>
            </w:r>
          </w:p>
        </w:tc>
        <w:tc>
          <w:tcPr>
            <w:tcW w:w="1116" w:type="dxa"/>
            <w:shd w:val="clear" w:color="auto" w:fill="8DB3E2"/>
          </w:tcPr>
          <w:p w:rsidR="002949D5" w:rsidRPr="00B036B2" w:rsidRDefault="002949D5" w:rsidP="002949D5">
            <w:pPr>
              <w:pStyle w:val="BodyText"/>
              <w:jc w:val="center"/>
              <w:rPr>
                <w:rFonts w:cs="Arial"/>
                <w:sz w:val="22"/>
                <w:szCs w:val="22"/>
              </w:rPr>
            </w:pPr>
            <w:r>
              <w:rPr>
                <w:rFonts w:cs="Arial"/>
                <w:sz w:val="22"/>
                <w:szCs w:val="22"/>
              </w:rPr>
              <w:t>%</w:t>
            </w:r>
          </w:p>
        </w:tc>
        <w:tc>
          <w:tcPr>
            <w:tcW w:w="913" w:type="dxa"/>
            <w:shd w:val="clear" w:color="auto" w:fill="8DB3E2"/>
          </w:tcPr>
          <w:p w:rsidR="002949D5" w:rsidRPr="00B036B2" w:rsidRDefault="002949D5" w:rsidP="002949D5">
            <w:pPr>
              <w:pStyle w:val="BodyText"/>
              <w:jc w:val="center"/>
              <w:rPr>
                <w:rFonts w:cs="Arial"/>
                <w:sz w:val="22"/>
                <w:szCs w:val="22"/>
              </w:rPr>
            </w:pPr>
          </w:p>
        </w:tc>
      </w:tr>
      <w:tr w:rsidR="002949D5" w:rsidRPr="00B036B2" w:rsidTr="003C7D41">
        <w:tc>
          <w:tcPr>
            <w:tcW w:w="1841" w:type="dxa"/>
          </w:tcPr>
          <w:p w:rsidR="002949D5" w:rsidRPr="00B036B2" w:rsidRDefault="002949D5" w:rsidP="00AB6974">
            <w:pPr>
              <w:pStyle w:val="BodyText"/>
              <w:rPr>
                <w:rFonts w:cs="Arial"/>
                <w:szCs w:val="22"/>
              </w:rPr>
            </w:pPr>
            <w:r w:rsidRPr="00B036B2">
              <w:rPr>
                <w:rFonts w:cs="Arial"/>
                <w:sz w:val="22"/>
                <w:szCs w:val="22"/>
              </w:rPr>
              <w:t>Annual Reports</w:t>
            </w:r>
          </w:p>
        </w:tc>
        <w:tc>
          <w:tcPr>
            <w:tcW w:w="1216" w:type="dxa"/>
            <w:vAlign w:val="center"/>
          </w:tcPr>
          <w:p w:rsidR="002949D5" w:rsidRPr="00453791" w:rsidRDefault="002949D5" w:rsidP="003C7D41">
            <w:pPr>
              <w:pStyle w:val="BodyText"/>
              <w:jc w:val="center"/>
              <w:rPr>
                <w:rFonts w:cs="Arial"/>
                <w:sz w:val="22"/>
                <w:szCs w:val="22"/>
              </w:rPr>
            </w:pPr>
            <w:r w:rsidRPr="00453791">
              <w:rPr>
                <w:rFonts w:cs="Arial"/>
                <w:sz w:val="22"/>
                <w:szCs w:val="22"/>
              </w:rPr>
              <w:t>2</w:t>
            </w:r>
          </w:p>
        </w:tc>
        <w:tc>
          <w:tcPr>
            <w:tcW w:w="984" w:type="dxa"/>
            <w:vAlign w:val="center"/>
          </w:tcPr>
          <w:p w:rsidR="002949D5" w:rsidRPr="00453791" w:rsidRDefault="002949D5" w:rsidP="003C7D41">
            <w:pPr>
              <w:pStyle w:val="BodyText"/>
              <w:jc w:val="center"/>
              <w:rPr>
                <w:rFonts w:cs="Arial"/>
                <w:sz w:val="22"/>
                <w:szCs w:val="22"/>
              </w:rPr>
            </w:pPr>
            <w:r w:rsidRPr="00453791">
              <w:rPr>
                <w:rFonts w:cs="Arial"/>
                <w:sz w:val="22"/>
                <w:szCs w:val="22"/>
              </w:rPr>
              <w:t>100.0</w:t>
            </w:r>
          </w:p>
        </w:tc>
        <w:tc>
          <w:tcPr>
            <w:tcW w:w="1038"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1284" w:type="dxa"/>
            <w:vAlign w:val="center"/>
          </w:tcPr>
          <w:p w:rsidR="002949D5" w:rsidRPr="00453791" w:rsidRDefault="002949D5" w:rsidP="003C7D41">
            <w:pPr>
              <w:pStyle w:val="BodyText"/>
              <w:jc w:val="center"/>
              <w:rPr>
                <w:rFonts w:cs="Arial"/>
                <w:sz w:val="22"/>
                <w:szCs w:val="22"/>
              </w:rPr>
            </w:pPr>
            <w:r w:rsidRPr="00453791">
              <w:rPr>
                <w:rFonts w:cs="Arial"/>
                <w:sz w:val="22"/>
                <w:szCs w:val="22"/>
              </w:rPr>
              <w:t>0.0</w:t>
            </w:r>
          </w:p>
        </w:tc>
        <w:tc>
          <w:tcPr>
            <w:tcW w:w="851"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1116" w:type="dxa"/>
            <w:vAlign w:val="center"/>
          </w:tcPr>
          <w:p w:rsidR="002949D5" w:rsidRPr="00453791" w:rsidRDefault="002949D5" w:rsidP="003C7D41">
            <w:pPr>
              <w:pStyle w:val="BodyText"/>
              <w:jc w:val="center"/>
              <w:rPr>
                <w:rFonts w:cs="Arial"/>
                <w:sz w:val="22"/>
                <w:szCs w:val="22"/>
              </w:rPr>
            </w:pPr>
            <w:r w:rsidRPr="00453791">
              <w:rPr>
                <w:rFonts w:cs="Arial"/>
                <w:sz w:val="22"/>
                <w:szCs w:val="22"/>
              </w:rPr>
              <w:t>0.0</w:t>
            </w:r>
          </w:p>
        </w:tc>
        <w:tc>
          <w:tcPr>
            <w:tcW w:w="913" w:type="dxa"/>
            <w:vAlign w:val="center"/>
          </w:tcPr>
          <w:p w:rsidR="002949D5" w:rsidRPr="00453791" w:rsidRDefault="002949D5" w:rsidP="003C7D41">
            <w:pPr>
              <w:pStyle w:val="BodyText"/>
              <w:jc w:val="center"/>
              <w:rPr>
                <w:rFonts w:cs="Arial"/>
                <w:sz w:val="22"/>
                <w:szCs w:val="22"/>
              </w:rPr>
            </w:pPr>
            <w:r w:rsidRPr="00453791">
              <w:rPr>
                <w:rFonts w:cs="Arial"/>
                <w:sz w:val="22"/>
                <w:szCs w:val="22"/>
              </w:rPr>
              <w:t>2</w:t>
            </w:r>
          </w:p>
        </w:tc>
      </w:tr>
      <w:tr w:rsidR="002949D5" w:rsidRPr="00B036B2" w:rsidTr="003C7D41">
        <w:tc>
          <w:tcPr>
            <w:tcW w:w="1841" w:type="dxa"/>
          </w:tcPr>
          <w:p w:rsidR="002949D5" w:rsidRPr="00B036B2" w:rsidRDefault="002949D5" w:rsidP="00AB6974">
            <w:pPr>
              <w:pStyle w:val="BodyText"/>
              <w:rPr>
                <w:rFonts w:cs="Arial"/>
                <w:szCs w:val="22"/>
              </w:rPr>
            </w:pPr>
            <w:r w:rsidRPr="00B036B2">
              <w:rPr>
                <w:rFonts w:cs="Arial"/>
                <w:sz w:val="22"/>
                <w:szCs w:val="22"/>
              </w:rPr>
              <w:t>Remuneration Reports</w:t>
            </w:r>
          </w:p>
        </w:tc>
        <w:tc>
          <w:tcPr>
            <w:tcW w:w="1216" w:type="dxa"/>
            <w:vAlign w:val="center"/>
          </w:tcPr>
          <w:p w:rsidR="002949D5" w:rsidRPr="00453791" w:rsidRDefault="002949D5" w:rsidP="003C7D41">
            <w:pPr>
              <w:pStyle w:val="BodyText"/>
              <w:jc w:val="center"/>
              <w:rPr>
                <w:rFonts w:cs="Arial"/>
                <w:sz w:val="22"/>
                <w:szCs w:val="22"/>
              </w:rPr>
            </w:pPr>
            <w:r w:rsidRPr="00453791">
              <w:rPr>
                <w:rFonts w:cs="Arial"/>
                <w:sz w:val="22"/>
                <w:szCs w:val="22"/>
              </w:rPr>
              <w:t>1</w:t>
            </w:r>
          </w:p>
        </w:tc>
        <w:tc>
          <w:tcPr>
            <w:tcW w:w="984" w:type="dxa"/>
            <w:vAlign w:val="center"/>
          </w:tcPr>
          <w:p w:rsidR="002949D5" w:rsidRPr="00453791" w:rsidRDefault="002949D5" w:rsidP="003C7D41">
            <w:pPr>
              <w:pStyle w:val="BodyText"/>
              <w:jc w:val="center"/>
              <w:rPr>
                <w:rFonts w:cs="Arial"/>
                <w:sz w:val="22"/>
                <w:szCs w:val="22"/>
              </w:rPr>
            </w:pPr>
            <w:r w:rsidRPr="00453791">
              <w:rPr>
                <w:rFonts w:cs="Arial"/>
                <w:sz w:val="22"/>
                <w:szCs w:val="22"/>
              </w:rPr>
              <w:t>50.0</w:t>
            </w:r>
          </w:p>
        </w:tc>
        <w:tc>
          <w:tcPr>
            <w:tcW w:w="1038"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1284" w:type="dxa"/>
            <w:vAlign w:val="center"/>
          </w:tcPr>
          <w:p w:rsidR="002949D5" w:rsidRPr="00453791" w:rsidRDefault="002949D5" w:rsidP="003C7D41">
            <w:pPr>
              <w:pStyle w:val="BodyText"/>
              <w:jc w:val="center"/>
              <w:rPr>
                <w:rFonts w:cs="Arial"/>
                <w:sz w:val="22"/>
                <w:szCs w:val="22"/>
              </w:rPr>
            </w:pPr>
            <w:r w:rsidRPr="00453791">
              <w:rPr>
                <w:rFonts w:cs="Arial"/>
                <w:sz w:val="22"/>
                <w:szCs w:val="22"/>
              </w:rPr>
              <w:t>0.0</w:t>
            </w:r>
          </w:p>
        </w:tc>
        <w:tc>
          <w:tcPr>
            <w:tcW w:w="851" w:type="dxa"/>
            <w:vAlign w:val="center"/>
          </w:tcPr>
          <w:p w:rsidR="002949D5" w:rsidRPr="00453791" w:rsidRDefault="002949D5" w:rsidP="003C7D41">
            <w:pPr>
              <w:pStyle w:val="BodyText"/>
              <w:jc w:val="center"/>
              <w:rPr>
                <w:rFonts w:cs="Arial"/>
                <w:sz w:val="22"/>
                <w:szCs w:val="22"/>
              </w:rPr>
            </w:pPr>
            <w:r w:rsidRPr="00453791">
              <w:rPr>
                <w:rFonts w:cs="Arial"/>
                <w:sz w:val="22"/>
                <w:szCs w:val="22"/>
              </w:rPr>
              <w:t>1</w:t>
            </w:r>
          </w:p>
        </w:tc>
        <w:tc>
          <w:tcPr>
            <w:tcW w:w="1116" w:type="dxa"/>
            <w:vAlign w:val="center"/>
          </w:tcPr>
          <w:p w:rsidR="002949D5" w:rsidRPr="00453791" w:rsidRDefault="002949D5" w:rsidP="003C7D41">
            <w:pPr>
              <w:pStyle w:val="BodyText"/>
              <w:jc w:val="center"/>
              <w:rPr>
                <w:rFonts w:cs="Arial"/>
                <w:sz w:val="22"/>
                <w:szCs w:val="22"/>
              </w:rPr>
            </w:pPr>
            <w:r w:rsidRPr="00453791">
              <w:rPr>
                <w:rFonts w:cs="Arial"/>
                <w:sz w:val="22"/>
                <w:szCs w:val="22"/>
              </w:rPr>
              <w:t>50.0</w:t>
            </w:r>
          </w:p>
        </w:tc>
        <w:tc>
          <w:tcPr>
            <w:tcW w:w="913" w:type="dxa"/>
            <w:vAlign w:val="center"/>
          </w:tcPr>
          <w:p w:rsidR="002949D5" w:rsidRPr="00453791" w:rsidRDefault="002949D5" w:rsidP="003C7D41">
            <w:pPr>
              <w:pStyle w:val="BodyText"/>
              <w:jc w:val="center"/>
              <w:rPr>
                <w:rFonts w:cs="Arial"/>
                <w:sz w:val="22"/>
                <w:szCs w:val="22"/>
              </w:rPr>
            </w:pPr>
            <w:r w:rsidRPr="00453791">
              <w:rPr>
                <w:rFonts w:cs="Arial"/>
                <w:sz w:val="22"/>
                <w:szCs w:val="22"/>
              </w:rPr>
              <w:t>2</w:t>
            </w:r>
          </w:p>
        </w:tc>
      </w:tr>
      <w:tr w:rsidR="002949D5" w:rsidRPr="00B036B2" w:rsidTr="003C7D41">
        <w:tc>
          <w:tcPr>
            <w:tcW w:w="1841" w:type="dxa"/>
          </w:tcPr>
          <w:p w:rsidR="002949D5" w:rsidRPr="00B036B2" w:rsidRDefault="002949D5" w:rsidP="00AB6974">
            <w:pPr>
              <w:pStyle w:val="BodyText"/>
              <w:rPr>
                <w:rFonts w:cs="Arial"/>
                <w:szCs w:val="22"/>
              </w:rPr>
            </w:pPr>
            <w:r w:rsidRPr="00B036B2">
              <w:rPr>
                <w:rFonts w:cs="Arial"/>
                <w:sz w:val="22"/>
                <w:szCs w:val="22"/>
              </w:rPr>
              <w:t>Articles of Association</w:t>
            </w:r>
          </w:p>
        </w:tc>
        <w:tc>
          <w:tcPr>
            <w:tcW w:w="1216" w:type="dxa"/>
            <w:vAlign w:val="center"/>
          </w:tcPr>
          <w:p w:rsidR="002949D5" w:rsidRPr="00453791" w:rsidRDefault="002949D5" w:rsidP="003C7D41">
            <w:pPr>
              <w:pStyle w:val="BodyText"/>
              <w:jc w:val="center"/>
              <w:rPr>
                <w:rFonts w:cs="Arial"/>
                <w:sz w:val="22"/>
                <w:szCs w:val="22"/>
              </w:rPr>
            </w:pPr>
            <w:r w:rsidRPr="00453791">
              <w:rPr>
                <w:rFonts w:cs="Arial"/>
                <w:sz w:val="22"/>
                <w:szCs w:val="22"/>
              </w:rPr>
              <w:t>1</w:t>
            </w:r>
          </w:p>
        </w:tc>
        <w:tc>
          <w:tcPr>
            <w:tcW w:w="984" w:type="dxa"/>
            <w:vAlign w:val="center"/>
          </w:tcPr>
          <w:p w:rsidR="002949D5" w:rsidRPr="00453791" w:rsidRDefault="002949D5" w:rsidP="003C7D41">
            <w:pPr>
              <w:pStyle w:val="BodyText"/>
              <w:jc w:val="center"/>
              <w:rPr>
                <w:rFonts w:cs="Arial"/>
                <w:sz w:val="22"/>
                <w:szCs w:val="22"/>
              </w:rPr>
            </w:pPr>
            <w:r w:rsidRPr="00453791">
              <w:rPr>
                <w:rFonts w:cs="Arial"/>
                <w:sz w:val="22"/>
                <w:szCs w:val="22"/>
              </w:rPr>
              <w:t>100.0</w:t>
            </w:r>
          </w:p>
        </w:tc>
        <w:tc>
          <w:tcPr>
            <w:tcW w:w="1038"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1284" w:type="dxa"/>
            <w:vAlign w:val="center"/>
          </w:tcPr>
          <w:p w:rsidR="002949D5" w:rsidRPr="00453791" w:rsidRDefault="002949D5" w:rsidP="003C7D41">
            <w:pPr>
              <w:pStyle w:val="BodyText"/>
              <w:jc w:val="center"/>
              <w:rPr>
                <w:rFonts w:cs="Arial"/>
                <w:sz w:val="22"/>
                <w:szCs w:val="22"/>
              </w:rPr>
            </w:pPr>
            <w:r w:rsidRPr="00453791">
              <w:rPr>
                <w:rFonts w:cs="Arial"/>
                <w:sz w:val="22"/>
                <w:szCs w:val="22"/>
              </w:rPr>
              <w:t>0.0</w:t>
            </w:r>
          </w:p>
        </w:tc>
        <w:tc>
          <w:tcPr>
            <w:tcW w:w="851"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1116" w:type="dxa"/>
            <w:vAlign w:val="center"/>
          </w:tcPr>
          <w:p w:rsidR="002949D5" w:rsidRPr="00453791" w:rsidRDefault="002949D5" w:rsidP="003C7D41">
            <w:pPr>
              <w:pStyle w:val="BodyText"/>
              <w:jc w:val="center"/>
              <w:rPr>
                <w:rFonts w:cs="Arial"/>
                <w:sz w:val="22"/>
                <w:szCs w:val="22"/>
              </w:rPr>
            </w:pPr>
            <w:r w:rsidRPr="00453791">
              <w:rPr>
                <w:rFonts w:cs="Arial"/>
                <w:sz w:val="22"/>
                <w:szCs w:val="22"/>
              </w:rPr>
              <w:t>0.0</w:t>
            </w:r>
          </w:p>
        </w:tc>
        <w:tc>
          <w:tcPr>
            <w:tcW w:w="913" w:type="dxa"/>
            <w:vAlign w:val="center"/>
          </w:tcPr>
          <w:p w:rsidR="002949D5" w:rsidRPr="00453791" w:rsidRDefault="002949D5" w:rsidP="003C7D41">
            <w:pPr>
              <w:pStyle w:val="BodyText"/>
              <w:jc w:val="center"/>
              <w:rPr>
                <w:rFonts w:cs="Arial"/>
                <w:sz w:val="22"/>
                <w:szCs w:val="22"/>
              </w:rPr>
            </w:pPr>
            <w:r w:rsidRPr="00453791">
              <w:rPr>
                <w:rFonts w:cs="Arial"/>
                <w:sz w:val="22"/>
                <w:szCs w:val="22"/>
              </w:rPr>
              <w:t>1</w:t>
            </w:r>
          </w:p>
        </w:tc>
      </w:tr>
      <w:tr w:rsidR="002949D5" w:rsidRPr="00B036B2" w:rsidTr="003C7D41">
        <w:tc>
          <w:tcPr>
            <w:tcW w:w="1841" w:type="dxa"/>
          </w:tcPr>
          <w:p w:rsidR="002949D5" w:rsidRPr="00B036B2" w:rsidRDefault="002949D5" w:rsidP="00AB6974">
            <w:pPr>
              <w:pStyle w:val="BodyText"/>
              <w:rPr>
                <w:rFonts w:cs="Arial"/>
                <w:szCs w:val="22"/>
              </w:rPr>
            </w:pPr>
            <w:r w:rsidRPr="00B036B2">
              <w:rPr>
                <w:rFonts w:cs="Arial"/>
                <w:sz w:val="22"/>
                <w:szCs w:val="22"/>
              </w:rPr>
              <w:t>Auditors Appointment</w:t>
            </w:r>
          </w:p>
        </w:tc>
        <w:tc>
          <w:tcPr>
            <w:tcW w:w="1216"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984" w:type="dxa"/>
            <w:vAlign w:val="center"/>
          </w:tcPr>
          <w:p w:rsidR="002949D5" w:rsidRPr="00453791" w:rsidRDefault="002949D5" w:rsidP="003C7D41">
            <w:pPr>
              <w:pStyle w:val="BodyText"/>
              <w:jc w:val="center"/>
              <w:rPr>
                <w:rFonts w:cs="Arial"/>
                <w:sz w:val="22"/>
                <w:szCs w:val="22"/>
              </w:rPr>
            </w:pPr>
            <w:r w:rsidRPr="00453791">
              <w:rPr>
                <w:rFonts w:cs="Arial"/>
                <w:sz w:val="22"/>
                <w:szCs w:val="22"/>
              </w:rPr>
              <w:t>0.0</w:t>
            </w:r>
          </w:p>
        </w:tc>
        <w:tc>
          <w:tcPr>
            <w:tcW w:w="1038" w:type="dxa"/>
            <w:vAlign w:val="center"/>
          </w:tcPr>
          <w:p w:rsidR="002949D5" w:rsidRPr="00453791" w:rsidRDefault="002949D5" w:rsidP="003C7D41">
            <w:pPr>
              <w:pStyle w:val="BodyText"/>
              <w:jc w:val="center"/>
              <w:rPr>
                <w:rFonts w:cs="Arial"/>
                <w:sz w:val="22"/>
                <w:szCs w:val="22"/>
              </w:rPr>
            </w:pPr>
            <w:r w:rsidRPr="00453791">
              <w:rPr>
                <w:rFonts w:cs="Arial"/>
                <w:sz w:val="22"/>
                <w:szCs w:val="22"/>
              </w:rPr>
              <w:t>2</w:t>
            </w:r>
          </w:p>
        </w:tc>
        <w:tc>
          <w:tcPr>
            <w:tcW w:w="1284" w:type="dxa"/>
            <w:vAlign w:val="center"/>
          </w:tcPr>
          <w:p w:rsidR="002949D5" w:rsidRPr="00453791" w:rsidRDefault="002949D5" w:rsidP="003C7D41">
            <w:pPr>
              <w:pStyle w:val="BodyText"/>
              <w:jc w:val="center"/>
              <w:rPr>
                <w:rFonts w:cs="Arial"/>
                <w:sz w:val="22"/>
                <w:szCs w:val="22"/>
              </w:rPr>
            </w:pPr>
            <w:r w:rsidRPr="00453791">
              <w:rPr>
                <w:rFonts w:cs="Arial"/>
                <w:sz w:val="22"/>
                <w:szCs w:val="22"/>
              </w:rPr>
              <w:t>100.0</w:t>
            </w:r>
          </w:p>
        </w:tc>
        <w:tc>
          <w:tcPr>
            <w:tcW w:w="851"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1116" w:type="dxa"/>
            <w:vAlign w:val="center"/>
          </w:tcPr>
          <w:p w:rsidR="002949D5" w:rsidRPr="00453791" w:rsidRDefault="002949D5" w:rsidP="003C7D41">
            <w:pPr>
              <w:pStyle w:val="BodyText"/>
              <w:jc w:val="center"/>
              <w:rPr>
                <w:rFonts w:cs="Arial"/>
                <w:sz w:val="22"/>
                <w:szCs w:val="22"/>
              </w:rPr>
            </w:pPr>
            <w:r w:rsidRPr="00453791">
              <w:rPr>
                <w:rFonts w:cs="Arial"/>
                <w:sz w:val="22"/>
                <w:szCs w:val="22"/>
              </w:rPr>
              <w:t>0.0</w:t>
            </w:r>
          </w:p>
        </w:tc>
        <w:tc>
          <w:tcPr>
            <w:tcW w:w="913" w:type="dxa"/>
            <w:vAlign w:val="center"/>
          </w:tcPr>
          <w:p w:rsidR="002949D5" w:rsidRPr="00453791" w:rsidRDefault="002949D5" w:rsidP="003C7D41">
            <w:pPr>
              <w:pStyle w:val="BodyText"/>
              <w:jc w:val="center"/>
              <w:rPr>
                <w:rFonts w:cs="Arial"/>
                <w:sz w:val="22"/>
                <w:szCs w:val="22"/>
              </w:rPr>
            </w:pPr>
            <w:r w:rsidRPr="00453791">
              <w:rPr>
                <w:rFonts w:cs="Arial"/>
                <w:sz w:val="22"/>
                <w:szCs w:val="22"/>
              </w:rPr>
              <w:t>2</w:t>
            </w:r>
          </w:p>
        </w:tc>
      </w:tr>
      <w:tr w:rsidR="002949D5" w:rsidRPr="00B036B2" w:rsidTr="003C7D41">
        <w:tc>
          <w:tcPr>
            <w:tcW w:w="1841" w:type="dxa"/>
          </w:tcPr>
          <w:p w:rsidR="002949D5" w:rsidRPr="00B036B2" w:rsidRDefault="002949D5" w:rsidP="00AB6974">
            <w:pPr>
              <w:pStyle w:val="BodyText"/>
              <w:rPr>
                <w:rFonts w:cs="Arial"/>
                <w:szCs w:val="22"/>
              </w:rPr>
            </w:pPr>
            <w:r w:rsidRPr="00B036B2">
              <w:rPr>
                <w:rFonts w:cs="Arial"/>
                <w:sz w:val="22"/>
                <w:szCs w:val="22"/>
              </w:rPr>
              <w:t>Directors</w:t>
            </w:r>
          </w:p>
        </w:tc>
        <w:tc>
          <w:tcPr>
            <w:tcW w:w="1216" w:type="dxa"/>
            <w:vAlign w:val="center"/>
          </w:tcPr>
          <w:p w:rsidR="002949D5" w:rsidRPr="00453791" w:rsidRDefault="002949D5" w:rsidP="003C7D41">
            <w:pPr>
              <w:pStyle w:val="BodyText"/>
              <w:jc w:val="center"/>
              <w:rPr>
                <w:rFonts w:cs="Arial"/>
                <w:sz w:val="22"/>
                <w:szCs w:val="22"/>
              </w:rPr>
            </w:pPr>
            <w:r w:rsidRPr="00453791">
              <w:rPr>
                <w:rFonts w:cs="Arial"/>
                <w:sz w:val="22"/>
                <w:szCs w:val="22"/>
              </w:rPr>
              <w:t>15</w:t>
            </w:r>
          </w:p>
        </w:tc>
        <w:tc>
          <w:tcPr>
            <w:tcW w:w="984" w:type="dxa"/>
            <w:vAlign w:val="center"/>
          </w:tcPr>
          <w:p w:rsidR="002949D5" w:rsidRPr="00453791" w:rsidRDefault="002949D5" w:rsidP="003C7D41">
            <w:pPr>
              <w:pStyle w:val="BodyText"/>
              <w:jc w:val="center"/>
              <w:rPr>
                <w:rFonts w:cs="Arial"/>
                <w:sz w:val="22"/>
                <w:szCs w:val="22"/>
              </w:rPr>
            </w:pPr>
            <w:r w:rsidRPr="00453791">
              <w:rPr>
                <w:rFonts w:cs="Arial"/>
                <w:sz w:val="22"/>
                <w:szCs w:val="22"/>
              </w:rPr>
              <w:t>100.0</w:t>
            </w:r>
          </w:p>
        </w:tc>
        <w:tc>
          <w:tcPr>
            <w:tcW w:w="1038"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1284" w:type="dxa"/>
            <w:vAlign w:val="center"/>
          </w:tcPr>
          <w:p w:rsidR="002949D5" w:rsidRPr="00453791" w:rsidRDefault="002949D5" w:rsidP="003C7D41">
            <w:pPr>
              <w:pStyle w:val="BodyText"/>
              <w:jc w:val="center"/>
              <w:rPr>
                <w:rFonts w:cs="Arial"/>
                <w:sz w:val="22"/>
                <w:szCs w:val="22"/>
              </w:rPr>
            </w:pPr>
            <w:r w:rsidRPr="00453791">
              <w:rPr>
                <w:rFonts w:cs="Arial"/>
                <w:sz w:val="22"/>
                <w:szCs w:val="22"/>
              </w:rPr>
              <w:t>0.0</w:t>
            </w:r>
          </w:p>
        </w:tc>
        <w:tc>
          <w:tcPr>
            <w:tcW w:w="851"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1116" w:type="dxa"/>
            <w:vAlign w:val="center"/>
          </w:tcPr>
          <w:p w:rsidR="002949D5" w:rsidRPr="00453791" w:rsidRDefault="002949D5" w:rsidP="003C7D41">
            <w:pPr>
              <w:pStyle w:val="BodyText"/>
              <w:jc w:val="center"/>
              <w:rPr>
                <w:rFonts w:cs="Arial"/>
                <w:sz w:val="22"/>
                <w:szCs w:val="22"/>
              </w:rPr>
            </w:pPr>
            <w:r w:rsidRPr="00453791">
              <w:rPr>
                <w:rFonts w:cs="Arial"/>
                <w:sz w:val="22"/>
                <w:szCs w:val="22"/>
              </w:rPr>
              <w:t>0.0</w:t>
            </w:r>
          </w:p>
        </w:tc>
        <w:tc>
          <w:tcPr>
            <w:tcW w:w="913" w:type="dxa"/>
            <w:vAlign w:val="center"/>
          </w:tcPr>
          <w:p w:rsidR="002949D5" w:rsidRPr="00453791" w:rsidRDefault="002949D5" w:rsidP="003C7D41">
            <w:pPr>
              <w:pStyle w:val="BodyText"/>
              <w:jc w:val="center"/>
              <w:rPr>
                <w:rFonts w:cs="Arial"/>
                <w:sz w:val="22"/>
                <w:szCs w:val="22"/>
              </w:rPr>
            </w:pPr>
            <w:r w:rsidRPr="00453791">
              <w:rPr>
                <w:rFonts w:cs="Arial"/>
                <w:sz w:val="22"/>
                <w:szCs w:val="22"/>
              </w:rPr>
              <w:t>15</w:t>
            </w:r>
          </w:p>
        </w:tc>
      </w:tr>
      <w:tr w:rsidR="002949D5" w:rsidRPr="00B036B2" w:rsidTr="003C7D41">
        <w:tc>
          <w:tcPr>
            <w:tcW w:w="1841" w:type="dxa"/>
          </w:tcPr>
          <w:p w:rsidR="002949D5" w:rsidRPr="00B036B2" w:rsidRDefault="002949D5" w:rsidP="00AB6974">
            <w:pPr>
              <w:pStyle w:val="BodyText"/>
              <w:rPr>
                <w:rFonts w:cs="Arial"/>
                <w:szCs w:val="22"/>
              </w:rPr>
            </w:pPr>
            <w:r w:rsidRPr="00B036B2">
              <w:rPr>
                <w:rFonts w:cs="Arial"/>
                <w:sz w:val="22"/>
                <w:szCs w:val="22"/>
              </w:rPr>
              <w:t>Dividend</w:t>
            </w:r>
          </w:p>
        </w:tc>
        <w:tc>
          <w:tcPr>
            <w:tcW w:w="1216" w:type="dxa"/>
            <w:vAlign w:val="center"/>
          </w:tcPr>
          <w:p w:rsidR="002949D5" w:rsidRPr="00453791" w:rsidRDefault="002949D5" w:rsidP="003C7D41">
            <w:pPr>
              <w:pStyle w:val="BodyText"/>
              <w:jc w:val="center"/>
              <w:rPr>
                <w:rFonts w:cs="Arial"/>
                <w:sz w:val="22"/>
                <w:szCs w:val="22"/>
              </w:rPr>
            </w:pPr>
            <w:r w:rsidRPr="00453791">
              <w:rPr>
                <w:rFonts w:cs="Arial"/>
                <w:sz w:val="22"/>
                <w:szCs w:val="22"/>
              </w:rPr>
              <w:t>2</w:t>
            </w:r>
          </w:p>
        </w:tc>
        <w:tc>
          <w:tcPr>
            <w:tcW w:w="984" w:type="dxa"/>
            <w:vAlign w:val="center"/>
          </w:tcPr>
          <w:p w:rsidR="002949D5" w:rsidRPr="00453791" w:rsidRDefault="002949D5" w:rsidP="003C7D41">
            <w:pPr>
              <w:pStyle w:val="BodyText"/>
              <w:jc w:val="center"/>
              <w:rPr>
                <w:rFonts w:cs="Arial"/>
                <w:sz w:val="22"/>
                <w:szCs w:val="22"/>
              </w:rPr>
            </w:pPr>
            <w:r w:rsidRPr="00453791">
              <w:rPr>
                <w:rFonts w:cs="Arial"/>
                <w:sz w:val="22"/>
                <w:szCs w:val="22"/>
              </w:rPr>
              <w:t>100.0</w:t>
            </w:r>
          </w:p>
        </w:tc>
        <w:tc>
          <w:tcPr>
            <w:tcW w:w="1038"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1284" w:type="dxa"/>
            <w:vAlign w:val="center"/>
          </w:tcPr>
          <w:p w:rsidR="002949D5" w:rsidRPr="00453791" w:rsidRDefault="002949D5" w:rsidP="003C7D41">
            <w:pPr>
              <w:pStyle w:val="BodyText"/>
              <w:jc w:val="center"/>
              <w:rPr>
                <w:rFonts w:cs="Arial"/>
                <w:sz w:val="22"/>
                <w:szCs w:val="22"/>
              </w:rPr>
            </w:pPr>
            <w:r w:rsidRPr="00453791">
              <w:rPr>
                <w:rFonts w:cs="Arial"/>
                <w:sz w:val="22"/>
                <w:szCs w:val="22"/>
              </w:rPr>
              <w:t>0.0</w:t>
            </w:r>
          </w:p>
        </w:tc>
        <w:tc>
          <w:tcPr>
            <w:tcW w:w="851"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1116" w:type="dxa"/>
            <w:vAlign w:val="center"/>
          </w:tcPr>
          <w:p w:rsidR="002949D5" w:rsidRPr="00453791" w:rsidRDefault="002949D5" w:rsidP="003C7D41">
            <w:pPr>
              <w:pStyle w:val="BodyText"/>
              <w:jc w:val="center"/>
              <w:rPr>
                <w:rFonts w:cs="Arial"/>
                <w:sz w:val="22"/>
                <w:szCs w:val="22"/>
              </w:rPr>
            </w:pPr>
            <w:r w:rsidRPr="00453791">
              <w:rPr>
                <w:rFonts w:cs="Arial"/>
                <w:sz w:val="22"/>
                <w:szCs w:val="22"/>
              </w:rPr>
              <w:t>0.0</w:t>
            </w:r>
          </w:p>
        </w:tc>
        <w:tc>
          <w:tcPr>
            <w:tcW w:w="913" w:type="dxa"/>
            <w:vAlign w:val="center"/>
          </w:tcPr>
          <w:p w:rsidR="002949D5" w:rsidRPr="00453791" w:rsidRDefault="002949D5" w:rsidP="003C7D41">
            <w:pPr>
              <w:pStyle w:val="BodyText"/>
              <w:jc w:val="center"/>
              <w:rPr>
                <w:rFonts w:cs="Arial"/>
                <w:sz w:val="22"/>
                <w:szCs w:val="22"/>
              </w:rPr>
            </w:pPr>
            <w:r w:rsidRPr="00453791">
              <w:rPr>
                <w:rFonts w:cs="Arial"/>
                <w:sz w:val="22"/>
                <w:szCs w:val="22"/>
              </w:rPr>
              <w:t>2</w:t>
            </w:r>
          </w:p>
        </w:tc>
      </w:tr>
      <w:tr w:rsidR="002949D5" w:rsidRPr="00B036B2" w:rsidTr="003C7D41">
        <w:tc>
          <w:tcPr>
            <w:tcW w:w="1841" w:type="dxa"/>
          </w:tcPr>
          <w:p w:rsidR="002949D5" w:rsidRPr="00B036B2" w:rsidRDefault="002949D5" w:rsidP="00AB6974">
            <w:pPr>
              <w:pStyle w:val="BodyText"/>
              <w:rPr>
                <w:rFonts w:cs="Arial"/>
                <w:szCs w:val="22"/>
              </w:rPr>
            </w:pPr>
            <w:r w:rsidRPr="00B036B2">
              <w:rPr>
                <w:rFonts w:cs="Arial"/>
                <w:sz w:val="22"/>
                <w:szCs w:val="22"/>
              </w:rPr>
              <w:t>Executive Pay Scheme</w:t>
            </w:r>
          </w:p>
        </w:tc>
        <w:tc>
          <w:tcPr>
            <w:tcW w:w="1216"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984" w:type="dxa"/>
            <w:vAlign w:val="center"/>
          </w:tcPr>
          <w:p w:rsidR="002949D5" w:rsidRPr="00453791" w:rsidRDefault="00453791" w:rsidP="003C7D41">
            <w:pPr>
              <w:pStyle w:val="BodyText"/>
              <w:jc w:val="center"/>
              <w:rPr>
                <w:rFonts w:cs="Arial"/>
                <w:sz w:val="22"/>
                <w:szCs w:val="22"/>
              </w:rPr>
            </w:pPr>
            <w:r w:rsidRPr="00453791">
              <w:rPr>
                <w:rFonts w:cs="Arial"/>
                <w:sz w:val="22"/>
                <w:szCs w:val="22"/>
              </w:rPr>
              <w:t>0.0</w:t>
            </w:r>
          </w:p>
        </w:tc>
        <w:tc>
          <w:tcPr>
            <w:tcW w:w="1038"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1284" w:type="dxa"/>
            <w:vAlign w:val="center"/>
          </w:tcPr>
          <w:p w:rsidR="002949D5" w:rsidRPr="00453791" w:rsidRDefault="00453791" w:rsidP="003C7D41">
            <w:pPr>
              <w:pStyle w:val="BodyText"/>
              <w:jc w:val="center"/>
              <w:rPr>
                <w:rFonts w:cs="Arial"/>
                <w:sz w:val="22"/>
                <w:szCs w:val="22"/>
              </w:rPr>
            </w:pPr>
            <w:r w:rsidRPr="00453791">
              <w:rPr>
                <w:rFonts w:cs="Arial"/>
                <w:sz w:val="22"/>
                <w:szCs w:val="22"/>
              </w:rPr>
              <w:t>0.0</w:t>
            </w:r>
          </w:p>
        </w:tc>
        <w:tc>
          <w:tcPr>
            <w:tcW w:w="851"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c>
          <w:tcPr>
            <w:tcW w:w="1116" w:type="dxa"/>
            <w:vAlign w:val="center"/>
          </w:tcPr>
          <w:p w:rsidR="002949D5" w:rsidRPr="00453791" w:rsidRDefault="00453791" w:rsidP="003C7D41">
            <w:pPr>
              <w:pStyle w:val="BodyText"/>
              <w:jc w:val="center"/>
              <w:rPr>
                <w:rFonts w:cs="Arial"/>
                <w:sz w:val="22"/>
                <w:szCs w:val="22"/>
              </w:rPr>
            </w:pPr>
            <w:r w:rsidRPr="00453791">
              <w:rPr>
                <w:rFonts w:cs="Arial"/>
                <w:sz w:val="22"/>
                <w:szCs w:val="22"/>
              </w:rPr>
              <w:t>0.0</w:t>
            </w:r>
          </w:p>
        </w:tc>
        <w:tc>
          <w:tcPr>
            <w:tcW w:w="913" w:type="dxa"/>
            <w:vAlign w:val="center"/>
          </w:tcPr>
          <w:p w:rsidR="002949D5" w:rsidRPr="00453791" w:rsidRDefault="002949D5" w:rsidP="003C7D41">
            <w:pPr>
              <w:pStyle w:val="BodyText"/>
              <w:jc w:val="center"/>
              <w:rPr>
                <w:rFonts w:cs="Arial"/>
                <w:sz w:val="22"/>
                <w:szCs w:val="22"/>
              </w:rPr>
            </w:pPr>
            <w:r w:rsidRPr="00453791">
              <w:rPr>
                <w:rFonts w:cs="Arial"/>
                <w:sz w:val="22"/>
                <w:szCs w:val="22"/>
              </w:rPr>
              <w:t>0</w:t>
            </w:r>
          </w:p>
        </w:tc>
      </w:tr>
    </w:tbl>
    <w:p w:rsidR="002949D5" w:rsidRPr="00B036B2" w:rsidRDefault="002949D5" w:rsidP="002949D5">
      <w:pPr>
        <w:rPr>
          <w:rFonts w:cs="Arial"/>
          <w:sz w:val="22"/>
          <w:szCs w:val="22"/>
        </w:rPr>
      </w:pPr>
    </w:p>
    <w:p w:rsidR="00BD4FD4" w:rsidRPr="002949D5" w:rsidRDefault="00BD4FD4" w:rsidP="001B4B25">
      <w:pPr>
        <w:keepNext/>
        <w:spacing w:after="240"/>
        <w:outlineLvl w:val="0"/>
      </w:pPr>
      <w:r w:rsidRPr="002949D5">
        <w:t xml:space="preserve">The Fund was party to </w:t>
      </w:r>
      <w:r w:rsidR="002949D5" w:rsidRPr="002949D5">
        <w:t>535</w:t>
      </w:r>
      <w:r w:rsidRPr="002949D5">
        <w:t xml:space="preserve"> resolutions during this period, of which 59% resulted in positive votes for shareholder resolutions and 34% were opposed or an abstention given.  Voting abstention is regularly used by institutional investors as a way of signalling a negative view on a proposal without active opposition. In addition, within certain foreign jurisdictions, shareholders either vote for a resolution or not at all, opposition to these votes is described as vote withheld. These totalled </w:t>
      </w:r>
      <w:r w:rsidR="002949D5" w:rsidRPr="002949D5">
        <w:t>17</w:t>
      </w:r>
      <w:r w:rsidRPr="002949D5">
        <w:t xml:space="preserve"> within the period, just </w:t>
      </w:r>
      <w:r w:rsidR="002949D5" w:rsidRPr="002949D5">
        <w:t>over</w:t>
      </w:r>
      <w:r w:rsidRPr="002949D5">
        <w:t xml:space="preserve"> 3%. The remaining agenda items required no vote.</w:t>
      </w:r>
    </w:p>
    <w:p w:rsidR="00BD4FD4" w:rsidRDefault="00BD4FD4" w:rsidP="001B4B25">
      <w:pPr>
        <w:keepNext/>
        <w:spacing w:after="240"/>
        <w:outlineLvl w:val="0"/>
      </w:pPr>
      <w:r w:rsidRPr="00BD4FD4">
        <w:t xml:space="preserve">Details of the votes made on </w:t>
      </w:r>
      <w:r w:rsidR="00DA54F4">
        <w:t>the Fund</w:t>
      </w:r>
      <w:r w:rsidR="00DA54F4" w:rsidRPr="00BD4FD4">
        <w:t xml:space="preserve">'s </w:t>
      </w:r>
      <w:r w:rsidRPr="00BD4FD4">
        <w:t>behalf during the period are set out in the following table, and gives the company name, the date of the meeting, the meeting type (typically Annual General Meeting (AGM) or Extraordinary General Meeting (EGM)), the country of incorporation, primary market sector, the value of Lancashire's holding in each company, and the voting details.</w:t>
      </w:r>
    </w:p>
    <w:p w:rsidR="003C7D41" w:rsidRPr="00BD4FD4" w:rsidRDefault="003C7D41" w:rsidP="001B4B25">
      <w:pPr>
        <w:keepNext/>
        <w:spacing w:after="240"/>
        <w:outlineLvl w:val="0"/>
      </w:pPr>
      <w:r>
        <w:t xml:space="preserve">At the previous Pension Fund Committee meeting in March 2014, a question was raised regarding the overall outcomes of the resolutions that PIRC has voted on the Fund's behalf. Producing this information </w:t>
      </w:r>
      <w:r w:rsidR="008F2F89">
        <w:t xml:space="preserve">is considered to be an important measure of the effectiveness </w:t>
      </w:r>
      <w:r>
        <w:t xml:space="preserve">of voting activity by the Fund. </w:t>
      </w:r>
      <w:r w:rsidR="008F2F89">
        <w:t>Fund officers have taken this feedback to PIRC as t</w:t>
      </w:r>
      <w:r>
        <w:t>his information has not previously been available to individual Fund</w:t>
      </w:r>
      <w:r w:rsidR="008F2F89">
        <w:t>s</w:t>
      </w:r>
      <w:r>
        <w:t xml:space="preserve"> and PIRC are currently working on this development. The information will be reported to future meetings of the Committee when it becomes available.</w:t>
      </w:r>
    </w:p>
    <w:p w:rsidR="00BD4FD4" w:rsidRPr="00BD4FD4" w:rsidRDefault="00BD4FD4" w:rsidP="00BD4FD4">
      <w:pPr>
        <w:rPr>
          <w:color w:val="FF0000"/>
        </w:rPr>
        <w:sectPr w:rsidR="00BD4FD4" w:rsidRPr="00BD4FD4" w:rsidSect="00BD4FD4">
          <w:footerReference w:type="default" r:id="rId8"/>
          <w:footerReference w:type="first" r:id="rId9"/>
          <w:type w:val="continuous"/>
          <w:pgSz w:w="11907" w:h="16840" w:code="9"/>
          <w:pgMar w:top="1134" w:right="1440" w:bottom="1276" w:left="1440" w:header="720" w:footer="306" w:gutter="0"/>
          <w:paperSrc w:first="7" w:other="7"/>
          <w:cols w:space="720"/>
          <w:titlePg/>
        </w:sectPr>
      </w:pPr>
    </w:p>
    <w:p w:rsidR="00484AA9" w:rsidRDefault="001B4B25" w:rsidP="00BD4FD4">
      <w:pPr>
        <w:rPr>
          <w:rFonts w:cs="Arial"/>
          <w:sz w:val="22"/>
          <w:szCs w:val="22"/>
        </w:rPr>
        <w:sectPr w:rsidR="00484AA9" w:rsidSect="00AB6974">
          <w:footerReference w:type="default" r:id="rId10"/>
          <w:footerReference w:type="first" r:id="rId11"/>
          <w:pgSz w:w="16840" w:h="11907" w:orient="landscape" w:code="9"/>
          <w:pgMar w:top="1440" w:right="1440" w:bottom="1440" w:left="1440" w:header="720" w:footer="306" w:gutter="0"/>
          <w:paperSrc w:first="7" w:other="7"/>
          <w:cols w:space="720"/>
          <w:titlePg/>
          <w:docGrid w:linePitch="326"/>
        </w:sectPr>
      </w:pPr>
      <w:r>
        <w:rPr>
          <w:rFonts w:cs="Arial"/>
          <w:noProof/>
          <w:sz w:val="22"/>
          <w:szCs w:val="22"/>
        </w:rPr>
        <w:lastRenderedPageBreak/>
        <w:drawing>
          <wp:inline distT="0" distB="0" distL="0" distR="0">
            <wp:extent cx="9363075" cy="5514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363075" cy="5514975"/>
                    </a:xfrm>
                    <a:prstGeom prst="rect">
                      <a:avLst/>
                    </a:prstGeom>
                    <a:noFill/>
                    <a:ln w="9525">
                      <a:noFill/>
                      <a:miter lim="800000"/>
                      <a:headEnd/>
                      <a:tailEnd/>
                    </a:ln>
                  </pic:spPr>
                </pic:pic>
              </a:graphicData>
            </a:graphic>
          </wp:inline>
        </w:drawing>
      </w:r>
    </w:p>
    <w:p w:rsidR="00BD4FD4" w:rsidRPr="00BD4FD4" w:rsidRDefault="00BD4FD4" w:rsidP="001B4B25">
      <w:pPr>
        <w:keepNext/>
        <w:outlineLvl w:val="0"/>
        <w:rPr>
          <w:b/>
        </w:rPr>
      </w:pPr>
      <w:r w:rsidRPr="00BD4FD4">
        <w:rPr>
          <w:b/>
        </w:rPr>
        <w:lastRenderedPageBreak/>
        <w:t>Shareholder Engagement through LAPFF</w:t>
      </w:r>
    </w:p>
    <w:p w:rsidR="00BD4FD4" w:rsidRPr="00BD4FD4" w:rsidRDefault="00BD4FD4" w:rsidP="00BD4FD4">
      <w:pPr>
        <w:keepNext/>
        <w:outlineLvl w:val="0"/>
      </w:pPr>
    </w:p>
    <w:p w:rsidR="00BD4FD4" w:rsidRPr="00BD4FD4" w:rsidRDefault="00BD4FD4" w:rsidP="001B4B25">
      <w:pPr>
        <w:keepNext/>
        <w:spacing w:after="240"/>
        <w:outlineLvl w:val="0"/>
      </w:pPr>
      <w:r w:rsidRPr="00BD4FD4">
        <w:t>Lancashire County Pension Fund is also a member</w:t>
      </w:r>
      <w:r w:rsidR="001B4B25">
        <w:t xml:space="preserve"> of the Local Authority Pension </w:t>
      </w:r>
      <w:r w:rsidRPr="00BD4FD4">
        <w:t>Fund Forum (LAPFF), which exists to promote the investment interests of local authority pension funds, and to maximise their influence as shareholders whilst promoting social responsibility and corporate governance at the companies in which they invest.</w:t>
      </w:r>
    </w:p>
    <w:p w:rsidR="00BD4FD4" w:rsidRPr="00BD4FD4" w:rsidRDefault="00BD4FD4" w:rsidP="001B4B25">
      <w:pPr>
        <w:keepNext/>
        <w:spacing w:after="240"/>
        <w:outlineLvl w:val="0"/>
      </w:pPr>
      <w:r w:rsidRPr="00BD4FD4">
        <w:t xml:space="preserve">Members of the Committee may be interested to note the attached engagement report from LAPFF (Appendix B) which covers the period 1 </w:t>
      </w:r>
      <w:r w:rsidR="00B72810" w:rsidRPr="00B72810">
        <w:t xml:space="preserve">January 2014 </w:t>
      </w:r>
      <w:r w:rsidRPr="00BD4FD4">
        <w:t xml:space="preserve">to 31 </w:t>
      </w:r>
      <w:r w:rsidR="00B72810" w:rsidRPr="00B72810">
        <w:t xml:space="preserve">March </w:t>
      </w:r>
      <w:r w:rsidRPr="00BD4FD4">
        <w:t>201</w:t>
      </w:r>
      <w:r w:rsidR="00B72810" w:rsidRPr="00B72810">
        <w:t>4</w:t>
      </w:r>
      <w:r w:rsidRPr="00BD4FD4">
        <w:t>.</w:t>
      </w:r>
    </w:p>
    <w:p w:rsidR="00BD4FD4" w:rsidRPr="00BD4FD4" w:rsidRDefault="00BD4FD4" w:rsidP="001B4B25">
      <w:pPr>
        <w:keepNext/>
        <w:spacing w:after="240"/>
        <w:outlineLvl w:val="0"/>
      </w:pPr>
      <w:r w:rsidRPr="00BD4FD4">
        <w:t>It sets out details of their activities in influencing governance, employment standards, reputational risk, climate change, finance and accounting, and Board composition, and provides a slightly different and wider perspective than the PIRC report.</w:t>
      </w:r>
    </w:p>
    <w:p w:rsidR="00BD4FD4" w:rsidRPr="00921195" w:rsidRDefault="00BD4FD4" w:rsidP="001B4B25">
      <w:pPr>
        <w:keepNext/>
        <w:outlineLvl w:val="0"/>
        <w:rPr>
          <w:b/>
        </w:rPr>
      </w:pPr>
      <w:r w:rsidRPr="00921195">
        <w:rPr>
          <w:b/>
        </w:rPr>
        <w:t>Class Actions</w:t>
      </w:r>
    </w:p>
    <w:p w:rsidR="00BD4FD4" w:rsidRPr="00921195" w:rsidRDefault="00BD4FD4" w:rsidP="001B4B25">
      <w:pPr>
        <w:spacing w:before="240" w:after="120"/>
        <w:rPr>
          <w:b/>
        </w:rPr>
      </w:pPr>
      <w:r w:rsidRPr="00921195">
        <w:rPr>
          <w:b/>
        </w:rPr>
        <w:t>United States</w:t>
      </w:r>
    </w:p>
    <w:p w:rsidR="00BD4FD4" w:rsidRPr="00921195" w:rsidRDefault="00BD4FD4" w:rsidP="001B4B25">
      <w:pPr>
        <w:spacing w:after="120"/>
      </w:pPr>
      <w:r w:rsidRPr="00921195">
        <w:t xml:space="preserve">The Fund has appointed Barrack, Rodos and Bacine (BR&amp;B) </w:t>
      </w:r>
      <w:r w:rsidR="00921195" w:rsidRPr="00921195">
        <w:t>and</w:t>
      </w:r>
      <w:r w:rsidR="000E796B">
        <w:t>, more recently</w:t>
      </w:r>
      <w:r w:rsidR="003C7D41">
        <w:t xml:space="preserve"> in addition</w:t>
      </w:r>
      <w:r w:rsidR="000E796B">
        <w:t xml:space="preserve">, </w:t>
      </w:r>
      <w:r w:rsidR="00921195" w:rsidRPr="00921195">
        <w:t xml:space="preserve">Robbins Geller Rudman and Dowd (RGRD) </w:t>
      </w:r>
      <w:r w:rsidRPr="00921195">
        <w:t>to provide class action monitoring with the aim of ensuring that the Lancashire County Pension Fund receives all</w:t>
      </w:r>
      <w:r w:rsidRPr="00921195">
        <w:rPr>
          <w:b/>
        </w:rPr>
        <w:t xml:space="preserve"> </w:t>
      </w:r>
      <w:r w:rsidRPr="00921195">
        <w:t>monies due to the Fund by filing its proof of claim from these cases. Th</w:t>
      </w:r>
      <w:r w:rsidR="00921195" w:rsidRPr="00921195">
        <w:t xml:space="preserve">ese </w:t>
      </w:r>
      <w:r w:rsidRPr="00921195">
        <w:t>service</w:t>
      </w:r>
      <w:r w:rsidR="00921195" w:rsidRPr="00921195">
        <w:t>s</w:t>
      </w:r>
      <w:r w:rsidRPr="00921195">
        <w:t xml:space="preserve"> </w:t>
      </w:r>
      <w:r w:rsidR="00921195" w:rsidRPr="00921195">
        <w:t xml:space="preserve">are </w:t>
      </w:r>
      <w:r w:rsidRPr="00921195">
        <w:t>at no cost to the Fund.</w:t>
      </w:r>
    </w:p>
    <w:p w:rsidR="00BD4FD4" w:rsidRPr="00921195" w:rsidRDefault="00BD4FD4" w:rsidP="001B4B25">
      <w:pPr>
        <w:spacing w:after="120"/>
      </w:pPr>
      <w:r w:rsidRPr="00921195">
        <w:t>BR</w:t>
      </w:r>
      <w:r w:rsidR="00921195" w:rsidRPr="00921195">
        <w:t xml:space="preserve">&amp; </w:t>
      </w:r>
      <w:r w:rsidRPr="00921195">
        <w:t xml:space="preserve">B </w:t>
      </w:r>
      <w:r w:rsidR="00921195" w:rsidRPr="00921195">
        <w:t xml:space="preserve">and RGRD </w:t>
      </w:r>
      <w:r w:rsidRPr="00921195">
        <w:t xml:space="preserve">will identify class actions where the Fund has a potential loss arising from an alleged fraud or a securities law violation. This is achieved </w:t>
      </w:r>
      <w:r w:rsidR="00921195" w:rsidRPr="00921195">
        <w:t xml:space="preserve">through their respective </w:t>
      </w:r>
      <w:r w:rsidRPr="00921195">
        <w:t>monitoring system</w:t>
      </w:r>
      <w:r w:rsidR="00921195" w:rsidRPr="00921195">
        <w:t>s</w:t>
      </w:r>
      <w:r w:rsidRPr="00921195">
        <w:t xml:space="preserve"> which follows each </w:t>
      </w:r>
      <w:r w:rsidR="00921195" w:rsidRPr="00921195">
        <w:t xml:space="preserve">potential </w:t>
      </w:r>
      <w:r w:rsidRPr="00921195">
        <w:t>securities case from the beginning to the end by ensuring its filing of the proof of claim so that the Fund may receive its payment.</w:t>
      </w:r>
    </w:p>
    <w:p w:rsidR="00BD4FD4" w:rsidRPr="00921195" w:rsidRDefault="00BD4FD4" w:rsidP="001B4B25">
      <w:pPr>
        <w:spacing w:after="240"/>
      </w:pPr>
      <w:r w:rsidRPr="00921195">
        <w:t>Occasionally the Fund may be asked to participate in a class action, and/ or to apply to become the lead or co-lead plaintiff, but under US law any shareholder subject to such a loss will be automatically entered into and benefit from a class action without having to file an individual claim.</w:t>
      </w:r>
    </w:p>
    <w:p w:rsidR="000E796B" w:rsidRDefault="00BD4FD4" w:rsidP="001B4B25">
      <w:r w:rsidRPr="00593A7A">
        <w:t xml:space="preserve">Details of current potential cases </w:t>
      </w:r>
      <w:r w:rsidR="00593A7A">
        <w:t xml:space="preserve">from BR&amp;B </w:t>
      </w:r>
      <w:r w:rsidRPr="00593A7A">
        <w:t xml:space="preserve">as at 31 </w:t>
      </w:r>
      <w:r w:rsidR="00921195" w:rsidRPr="00593A7A">
        <w:t xml:space="preserve">March </w:t>
      </w:r>
      <w:r w:rsidRPr="00593A7A">
        <w:t>201</w:t>
      </w:r>
      <w:r w:rsidR="00921195" w:rsidRPr="00593A7A">
        <w:t>4</w:t>
      </w:r>
      <w:r w:rsidRPr="00593A7A">
        <w:t xml:space="preserve"> are set out below</w:t>
      </w:r>
      <w:r w:rsidR="000E796B">
        <w:t xml:space="preserve">. </w:t>
      </w:r>
      <w:r w:rsidRPr="00593A7A">
        <w:t>:</w:t>
      </w:r>
      <w:r w:rsidR="00593A7A">
        <w:br/>
      </w:r>
      <w:r w:rsidR="00593A7A">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7"/>
        <w:gridCol w:w="1737"/>
        <w:gridCol w:w="1796"/>
        <w:gridCol w:w="1855"/>
      </w:tblGrid>
      <w:tr w:rsidR="000E796B" w:rsidTr="001B4B25">
        <w:tc>
          <w:tcPr>
            <w:tcW w:w="3747" w:type="dxa"/>
          </w:tcPr>
          <w:p w:rsidR="000E796B" w:rsidRDefault="000E796B" w:rsidP="00BD4FD4">
            <w:r>
              <w:t>Company name</w:t>
            </w:r>
          </w:p>
        </w:tc>
        <w:tc>
          <w:tcPr>
            <w:tcW w:w="1737" w:type="dxa"/>
          </w:tcPr>
          <w:p w:rsidR="000E796B" w:rsidRDefault="000E796B" w:rsidP="00BD4FD4">
            <w:r>
              <w:t>Effective class period begin</w:t>
            </w:r>
          </w:p>
        </w:tc>
        <w:tc>
          <w:tcPr>
            <w:tcW w:w="1796" w:type="dxa"/>
          </w:tcPr>
          <w:p w:rsidR="000E796B" w:rsidRDefault="000E796B" w:rsidP="00BD4FD4">
            <w:r>
              <w:t>Effective class period end</w:t>
            </w:r>
          </w:p>
        </w:tc>
        <w:tc>
          <w:tcPr>
            <w:tcW w:w="1855" w:type="dxa"/>
          </w:tcPr>
          <w:p w:rsidR="000E796B" w:rsidRDefault="000E796B" w:rsidP="00BD4FD4">
            <w:r>
              <w:t>Potential loss incurred ($'000)</w:t>
            </w:r>
          </w:p>
        </w:tc>
      </w:tr>
      <w:tr w:rsidR="000E796B" w:rsidTr="001B4B25">
        <w:tc>
          <w:tcPr>
            <w:tcW w:w="3747" w:type="dxa"/>
          </w:tcPr>
          <w:p w:rsidR="000E796B" w:rsidRDefault="000E796B" w:rsidP="00BD4FD4">
            <w:r w:rsidRPr="000E796B">
              <w:t>Medtronic, Inc</w:t>
            </w:r>
          </w:p>
        </w:tc>
        <w:tc>
          <w:tcPr>
            <w:tcW w:w="1737" w:type="dxa"/>
          </w:tcPr>
          <w:p w:rsidR="000E796B" w:rsidRDefault="000E796B" w:rsidP="005C650C">
            <w:pPr>
              <w:jc w:val="center"/>
            </w:pPr>
            <w:r w:rsidRPr="000E796B">
              <w:t>08/12/10</w:t>
            </w:r>
          </w:p>
        </w:tc>
        <w:tc>
          <w:tcPr>
            <w:tcW w:w="1796" w:type="dxa"/>
          </w:tcPr>
          <w:p w:rsidR="000E796B" w:rsidRDefault="000E796B" w:rsidP="005C650C">
            <w:pPr>
              <w:jc w:val="center"/>
            </w:pPr>
            <w:r w:rsidRPr="003C7D41">
              <w:t>03/08/11</w:t>
            </w:r>
          </w:p>
        </w:tc>
        <w:tc>
          <w:tcPr>
            <w:tcW w:w="1855" w:type="dxa"/>
          </w:tcPr>
          <w:p w:rsidR="000E796B" w:rsidRDefault="000E796B" w:rsidP="005C650C">
            <w:pPr>
              <w:jc w:val="right"/>
            </w:pPr>
            <w:r w:rsidRPr="003C7D41">
              <w:t>27.71</w:t>
            </w:r>
          </w:p>
        </w:tc>
      </w:tr>
      <w:tr w:rsidR="000E796B" w:rsidTr="001B4B25">
        <w:tc>
          <w:tcPr>
            <w:tcW w:w="3747" w:type="dxa"/>
          </w:tcPr>
          <w:p w:rsidR="000E796B" w:rsidRDefault="000E796B" w:rsidP="00BD4FD4">
            <w:r w:rsidRPr="000E796B">
              <w:t>CenturyLink, Inc.</w:t>
            </w:r>
          </w:p>
        </w:tc>
        <w:tc>
          <w:tcPr>
            <w:tcW w:w="1737" w:type="dxa"/>
          </w:tcPr>
          <w:p w:rsidR="000E796B" w:rsidRDefault="000E796B" w:rsidP="005C650C">
            <w:pPr>
              <w:jc w:val="center"/>
            </w:pPr>
            <w:r w:rsidRPr="000E796B">
              <w:t>08/08/12</w:t>
            </w:r>
          </w:p>
        </w:tc>
        <w:tc>
          <w:tcPr>
            <w:tcW w:w="1796" w:type="dxa"/>
          </w:tcPr>
          <w:p w:rsidR="000E796B" w:rsidRDefault="000E796B" w:rsidP="005C650C">
            <w:pPr>
              <w:jc w:val="center"/>
            </w:pPr>
            <w:r w:rsidRPr="003C7D41">
              <w:t>14/02/13</w:t>
            </w:r>
          </w:p>
        </w:tc>
        <w:tc>
          <w:tcPr>
            <w:tcW w:w="1855" w:type="dxa"/>
          </w:tcPr>
          <w:p w:rsidR="000E796B" w:rsidRDefault="000E796B" w:rsidP="005C650C">
            <w:pPr>
              <w:jc w:val="right"/>
            </w:pPr>
            <w:r w:rsidRPr="003C7D41">
              <w:t>521.63</w:t>
            </w:r>
          </w:p>
        </w:tc>
      </w:tr>
      <w:tr w:rsidR="000E796B" w:rsidTr="001B4B25">
        <w:tc>
          <w:tcPr>
            <w:tcW w:w="3747" w:type="dxa"/>
          </w:tcPr>
          <w:p w:rsidR="000E796B" w:rsidRDefault="000E796B" w:rsidP="00BD4FD4">
            <w:r w:rsidRPr="000E796B">
              <w:t>Barrick Gold Corp.</w:t>
            </w:r>
          </w:p>
        </w:tc>
        <w:tc>
          <w:tcPr>
            <w:tcW w:w="1737" w:type="dxa"/>
          </w:tcPr>
          <w:p w:rsidR="000E796B" w:rsidRDefault="000E796B" w:rsidP="005C650C">
            <w:pPr>
              <w:jc w:val="center"/>
            </w:pPr>
            <w:r w:rsidRPr="000E796B">
              <w:t>07/05/09</w:t>
            </w:r>
          </w:p>
        </w:tc>
        <w:tc>
          <w:tcPr>
            <w:tcW w:w="1796" w:type="dxa"/>
          </w:tcPr>
          <w:p w:rsidR="000E796B" w:rsidRDefault="000E796B" w:rsidP="005C650C">
            <w:pPr>
              <w:jc w:val="center"/>
            </w:pPr>
            <w:r w:rsidRPr="003C7D41">
              <w:t>23/05/13</w:t>
            </w:r>
          </w:p>
        </w:tc>
        <w:tc>
          <w:tcPr>
            <w:tcW w:w="1855" w:type="dxa"/>
          </w:tcPr>
          <w:p w:rsidR="000E796B" w:rsidRDefault="000E796B" w:rsidP="005C650C">
            <w:pPr>
              <w:jc w:val="right"/>
            </w:pPr>
            <w:r w:rsidRPr="003C7D41">
              <w:t>411.36</w:t>
            </w:r>
          </w:p>
        </w:tc>
      </w:tr>
      <w:tr w:rsidR="000E796B" w:rsidTr="001B4B25">
        <w:tc>
          <w:tcPr>
            <w:tcW w:w="3747" w:type="dxa"/>
            <w:vAlign w:val="bottom"/>
          </w:tcPr>
          <w:p w:rsidR="000E796B" w:rsidRPr="000E796B" w:rsidRDefault="000E796B" w:rsidP="000E796B">
            <w:r w:rsidRPr="000E796B">
              <w:t>Intuitive Surgical, Inc.</w:t>
            </w:r>
          </w:p>
        </w:tc>
        <w:tc>
          <w:tcPr>
            <w:tcW w:w="1737" w:type="dxa"/>
          </w:tcPr>
          <w:p w:rsidR="000E796B" w:rsidRDefault="000E796B" w:rsidP="005C650C">
            <w:pPr>
              <w:jc w:val="center"/>
            </w:pPr>
            <w:r w:rsidRPr="000E796B">
              <w:t>19/10/11</w:t>
            </w:r>
          </w:p>
        </w:tc>
        <w:tc>
          <w:tcPr>
            <w:tcW w:w="1796" w:type="dxa"/>
          </w:tcPr>
          <w:p w:rsidR="000E796B" w:rsidRDefault="000E796B" w:rsidP="005C650C">
            <w:pPr>
              <w:jc w:val="center"/>
            </w:pPr>
            <w:r w:rsidRPr="003C7D41">
              <w:t>18/04/13</w:t>
            </w:r>
          </w:p>
        </w:tc>
        <w:tc>
          <w:tcPr>
            <w:tcW w:w="1855" w:type="dxa"/>
          </w:tcPr>
          <w:p w:rsidR="000E796B" w:rsidRDefault="000E796B" w:rsidP="005C650C">
            <w:pPr>
              <w:jc w:val="right"/>
            </w:pPr>
            <w:r w:rsidRPr="003C7D41">
              <w:t>251.54</w:t>
            </w:r>
          </w:p>
        </w:tc>
      </w:tr>
      <w:tr w:rsidR="000E796B" w:rsidTr="001B4B25">
        <w:tc>
          <w:tcPr>
            <w:tcW w:w="3747" w:type="dxa"/>
          </w:tcPr>
          <w:p w:rsidR="000E796B" w:rsidRDefault="000E796B" w:rsidP="00BD4FD4">
            <w:r w:rsidRPr="000E796B">
              <w:t>ITT Educational Services, Inc.</w:t>
            </w:r>
          </w:p>
        </w:tc>
        <w:tc>
          <w:tcPr>
            <w:tcW w:w="1737" w:type="dxa"/>
          </w:tcPr>
          <w:p w:rsidR="000E796B" w:rsidRDefault="000E796B" w:rsidP="005C650C">
            <w:pPr>
              <w:jc w:val="center"/>
            </w:pPr>
            <w:r w:rsidRPr="000E796B">
              <w:t>24/04/08</w:t>
            </w:r>
          </w:p>
        </w:tc>
        <w:tc>
          <w:tcPr>
            <w:tcW w:w="1796" w:type="dxa"/>
          </w:tcPr>
          <w:p w:rsidR="000E796B" w:rsidRDefault="000E796B" w:rsidP="005C650C">
            <w:pPr>
              <w:jc w:val="center"/>
            </w:pPr>
            <w:r w:rsidRPr="003C7D41">
              <w:t>25/02/13</w:t>
            </w:r>
          </w:p>
        </w:tc>
        <w:tc>
          <w:tcPr>
            <w:tcW w:w="1855" w:type="dxa"/>
          </w:tcPr>
          <w:p w:rsidR="000E796B" w:rsidRDefault="000E796B" w:rsidP="005C650C">
            <w:pPr>
              <w:jc w:val="right"/>
            </w:pPr>
            <w:r w:rsidRPr="003C7D41">
              <w:t>760.06</w:t>
            </w:r>
          </w:p>
        </w:tc>
      </w:tr>
      <w:tr w:rsidR="000E796B" w:rsidTr="001B4B25">
        <w:tc>
          <w:tcPr>
            <w:tcW w:w="3747" w:type="dxa"/>
          </w:tcPr>
          <w:p w:rsidR="000E796B" w:rsidRDefault="000E796B" w:rsidP="00BD4FD4">
            <w:r w:rsidRPr="000E796B">
              <w:t>Weightwatchers International</w:t>
            </w:r>
          </w:p>
        </w:tc>
        <w:tc>
          <w:tcPr>
            <w:tcW w:w="1737" w:type="dxa"/>
          </w:tcPr>
          <w:p w:rsidR="000E796B" w:rsidRDefault="000E796B" w:rsidP="005C650C">
            <w:pPr>
              <w:jc w:val="center"/>
            </w:pPr>
            <w:r w:rsidRPr="000E796B">
              <w:t>14/02/12</w:t>
            </w:r>
          </w:p>
        </w:tc>
        <w:tc>
          <w:tcPr>
            <w:tcW w:w="1796" w:type="dxa"/>
          </w:tcPr>
          <w:p w:rsidR="000E796B" w:rsidRDefault="000E796B" w:rsidP="005C650C">
            <w:pPr>
              <w:jc w:val="center"/>
            </w:pPr>
            <w:r w:rsidRPr="003C7D41">
              <w:t>30/10/13</w:t>
            </w:r>
          </w:p>
        </w:tc>
        <w:tc>
          <w:tcPr>
            <w:tcW w:w="1855" w:type="dxa"/>
          </w:tcPr>
          <w:p w:rsidR="000E796B" w:rsidRDefault="000E796B" w:rsidP="005C650C">
            <w:pPr>
              <w:jc w:val="right"/>
            </w:pPr>
            <w:r w:rsidRPr="003C7D41">
              <w:t>2,265.97</w:t>
            </w:r>
          </w:p>
        </w:tc>
      </w:tr>
    </w:tbl>
    <w:p w:rsidR="001B4B25" w:rsidRDefault="001B4B25" w:rsidP="001B4B25">
      <w:pPr>
        <w:spacing w:before="240" w:after="120"/>
        <w:rPr>
          <w:b/>
        </w:rPr>
      </w:pPr>
    </w:p>
    <w:p w:rsidR="00BD4FD4" w:rsidRPr="00921195" w:rsidRDefault="00BD4FD4" w:rsidP="001B4B25">
      <w:pPr>
        <w:spacing w:before="240" w:after="120"/>
        <w:rPr>
          <w:b/>
        </w:rPr>
      </w:pPr>
      <w:r w:rsidRPr="00921195">
        <w:rPr>
          <w:b/>
        </w:rPr>
        <w:lastRenderedPageBreak/>
        <w:t>United Kingdom</w:t>
      </w:r>
    </w:p>
    <w:p w:rsidR="00BD4FD4" w:rsidRPr="00921195" w:rsidRDefault="00BD4FD4" w:rsidP="001B4B25">
      <w:pPr>
        <w:spacing w:after="240"/>
      </w:pPr>
      <w:r w:rsidRPr="00921195">
        <w:t>Unlike class actions within the US jurisdiction, where all relevant recipients benefit from a class action when filed, class actions within the UK require investors to file their actions individually in order to potentially benefit from a successful class action. Such actions are therefore much less prevalent.</w:t>
      </w:r>
    </w:p>
    <w:p w:rsidR="00BD4FD4" w:rsidRPr="00921195" w:rsidRDefault="00BD4FD4" w:rsidP="001B4B25">
      <w:pPr>
        <w:spacing w:after="240"/>
      </w:pPr>
      <w:r w:rsidRPr="00921195">
        <w:t>The Committee will recall a current class action relating to the alleged actions of Royal Bank of Scotland (RBS) where, it is argued, investors suffered losses in respect of a subsequent Rights Issue in 2008.</w:t>
      </w:r>
    </w:p>
    <w:p w:rsidR="00593A7A" w:rsidRDefault="00BD4FD4" w:rsidP="001B4B25">
      <w:pPr>
        <w:spacing w:after="240"/>
      </w:pPr>
      <w:r w:rsidRPr="00921195">
        <w:t xml:space="preserve">Confirmation has now been received from the UK lawyers arranging the class action that Lancashire County Pension Fund </w:t>
      </w:r>
      <w:r w:rsidR="00921195" w:rsidRPr="00921195">
        <w:t xml:space="preserve">has </w:t>
      </w:r>
      <w:r w:rsidRPr="00921195">
        <w:t>now be</w:t>
      </w:r>
      <w:r w:rsidR="00921195" w:rsidRPr="00921195">
        <w:t xml:space="preserve">en added as a claimant </w:t>
      </w:r>
      <w:r w:rsidRPr="00921195">
        <w:t>to the claim against RBS.</w:t>
      </w:r>
    </w:p>
    <w:p w:rsidR="003E6A45" w:rsidRDefault="003E6A45">
      <w:pPr>
        <w:pStyle w:val="Heading1"/>
      </w:pPr>
      <w:r>
        <w:t>Consultations</w:t>
      </w:r>
    </w:p>
    <w:p w:rsidR="003E6A45" w:rsidRDefault="003E6A45">
      <w:pPr>
        <w:pStyle w:val="Header"/>
      </w:pPr>
    </w:p>
    <w:p w:rsidR="0039086B" w:rsidRPr="0039086B" w:rsidRDefault="0039086B" w:rsidP="0039086B">
      <w:r w:rsidRPr="0039086B">
        <w:t>N/A</w:t>
      </w:r>
    </w:p>
    <w:p w:rsidR="003E6A45" w:rsidRDefault="003E6A45"/>
    <w:p w:rsidR="00772BBA" w:rsidRDefault="003E6A45" w:rsidP="00772BBA">
      <w:r>
        <w:rPr>
          <w:b/>
        </w:rPr>
        <w:t>Implications</w:t>
      </w:r>
      <w:r>
        <w:t xml:space="preserve">: </w:t>
      </w:r>
    </w:p>
    <w:p w:rsidR="00772BBA" w:rsidRDefault="00772BBA" w:rsidP="00772BBA"/>
    <w:p w:rsidR="0039086B" w:rsidRPr="0039086B" w:rsidRDefault="0039086B" w:rsidP="0039086B">
      <w:r w:rsidRPr="0039086B">
        <w:t>It is a key component of good governance that the Fund is an engaged and responsible investor complying with the Stewardship Code.</w:t>
      </w:r>
    </w:p>
    <w:p w:rsidR="0039086B" w:rsidRPr="0039086B" w:rsidRDefault="0039086B" w:rsidP="0039086B"/>
    <w:p w:rsidR="0039086B" w:rsidRPr="0039086B" w:rsidRDefault="0039086B" w:rsidP="0039086B">
      <w:r w:rsidRPr="0039086B">
        <w:t>Well run responsible companies are more likely to be successful and less likely to suffer from unexpected scandals.</w:t>
      </w:r>
    </w:p>
    <w:p w:rsidR="0039086B" w:rsidRPr="0039086B" w:rsidRDefault="0039086B" w:rsidP="0039086B"/>
    <w:p w:rsidR="0039086B" w:rsidRPr="0039086B" w:rsidRDefault="0039086B" w:rsidP="0039086B">
      <w:pPr>
        <w:rPr>
          <w:b/>
        </w:rPr>
      </w:pPr>
      <w:r w:rsidRPr="0039086B">
        <w:rPr>
          <w:b/>
        </w:rPr>
        <w:t>Risk management</w:t>
      </w:r>
    </w:p>
    <w:p w:rsidR="0039086B" w:rsidRPr="0039086B" w:rsidRDefault="0039086B" w:rsidP="0039086B"/>
    <w:p w:rsidR="0039086B" w:rsidRPr="0039086B" w:rsidRDefault="0039086B" w:rsidP="0039086B">
      <w:r w:rsidRPr="0039086B">
        <w:t>The promotion of good responsible corporate governance in the companies the Fund is invested in reduces the risk of unexpected losses arising as a result of poor over-sight and lack of independence.</w:t>
      </w:r>
    </w:p>
    <w:p w:rsidR="0039086B" w:rsidRPr="0039086B" w:rsidRDefault="0039086B" w:rsidP="0039086B"/>
    <w:p w:rsidR="0039086B" w:rsidRPr="0039086B" w:rsidRDefault="0039086B" w:rsidP="0039086B">
      <w:r w:rsidRPr="0039086B">
        <w:t>Involvement in a non-US class action may result in losses incurred being recovered for the Fund, but should a case be lost then the Fund may incur related costs which may not be known with certainty at the time of filing. Applying for lead plaintiff status in the US may incur significant officer time and resources in bringing a potential case to fruition.</w:t>
      </w:r>
    </w:p>
    <w:p w:rsidR="0039086B" w:rsidRPr="0039086B" w:rsidRDefault="0039086B" w:rsidP="0039086B"/>
    <w:p w:rsidR="0039086B" w:rsidRPr="0039086B" w:rsidRDefault="0039086B" w:rsidP="0039086B">
      <w:r w:rsidRPr="0039086B">
        <w:t>Should the claimants in the litigation against RBS fail, then it is possible that LCPF faces having to make a contribution towards RBS costs notwithstanding the insurance in place.  The amount of any shortfall following an insurance settlement and the LCPF contribution thereto is impossible to quantify at this stage.</w:t>
      </w:r>
    </w:p>
    <w:p w:rsidR="0039086B" w:rsidRPr="0039086B" w:rsidRDefault="0039086B" w:rsidP="0039086B"/>
    <w:p w:rsidR="0039086B" w:rsidRPr="0039086B" w:rsidRDefault="0039086B" w:rsidP="0039086B">
      <w:r w:rsidRPr="0039086B">
        <w:t>Furthermore, if successful the LCPF will be required to hand over a proportion of any sum recovered to the funder and claimant solicitors.</w:t>
      </w:r>
    </w:p>
    <w:p w:rsidR="0039086B" w:rsidRPr="0039086B" w:rsidRDefault="0039086B" w:rsidP="0039086B"/>
    <w:p w:rsidR="0039086B" w:rsidRPr="0039086B" w:rsidRDefault="0039086B" w:rsidP="0039086B">
      <w:pPr>
        <w:keepNext/>
        <w:outlineLvl w:val="4"/>
        <w:rPr>
          <w:b/>
        </w:rPr>
      </w:pPr>
      <w:r w:rsidRPr="0039086B">
        <w:rPr>
          <w:b/>
        </w:rPr>
        <w:t>Local Government (Access to Information) Act 1985</w:t>
      </w:r>
    </w:p>
    <w:p w:rsidR="0039086B" w:rsidRPr="0039086B" w:rsidRDefault="0039086B" w:rsidP="0039086B">
      <w:pPr>
        <w:keepNext/>
        <w:outlineLvl w:val="4"/>
        <w:rPr>
          <w:b/>
        </w:rPr>
      </w:pPr>
      <w:r w:rsidRPr="0039086B">
        <w:rPr>
          <w:b/>
        </w:rPr>
        <w:t>List of Background Papers</w:t>
      </w:r>
    </w:p>
    <w:tbl>
      <w:tblPr>
        <w:tblW w:w="0" w:type="auto"/>
        <w:tblLayout w:type="fixed"/>
        <w:tblLook w:val="000C"/>
      </w:tblPr>
      <w:tblGrid>
        <w:gridCol w:w="3227"/>
        <w:gridCol w:w="2775"/>
        <w:gridCol w:w="3178"/>
      </w:tblGrid>
      <w:tr w:rsidR="0039086B" w:rsidRPr="0039086B" w:rsidTr="00364339">
        <w:tc>
          <w:tcPr>
            <w:tcW w:w="3227" w:type="dxa"/>
          </w:tcPr>
          <w:p w:rsidR="0039086B" w:rsidRPr="0039086B" w:rsidRDefault="0039086B" w:rsidP="0039086B">
            <w:pPr>
              <w:keepNext/>
              <w:outlineLvl w:val="6"/>
            </w:pPr>
            <w:r w:rsidRPr="0039086B">
              <w:t>N/</w:t>
            </w:r>
            <w:r>
              <w:t>A</w:t>
            </w:r>
          </w:p>
        </w:tc>
        <w:tc>
          <w:tcPr>
            <w:tcW w:w="2775" w:type="dxa"/>
          </w:tcPr>
          <w:p w:rsidR="0039086B" w:rsidRPr="0039086B" w:rsidRDefault="0039086B" w:rsidP="0039086B">
            <w:pPr>
              <w:keepNext/>
              <w:outlineLvl w:val="6"/>
            </w:pPr>
          </w:p>
        </w:tc>
        <w:tc>
          <w:tcPr>
            <w:tcW w:w="3178" w:type="dxa"/>
          </w:tcPr>
          <w:p w:rsidR="0039086B" w:rsidRPr="0039086B" w:rsidRDefault="0039086B" w:rsidP="0039086B">
            <w:pPr>
              <w:keepNext/>
              <w:outlineLvl w:val="6"/>
            </w:pPr>
          </w:p>
        </w:tc>
      </w:tr>
    </w:tbl>
    <w:p w:rsidR="0039086B" w:rsidRPr="0039086B" w:rsidRDefault="0039086B" w:rsidP="0039086B"/>
    <w:sectPr w:rsidR="0039086B" w:rsidRPr="0039086B" w:rsidSect="003C7D41">
      <w:pgSz w:w="11907" w:h="16840" w:code="9"/>
      <w:pgMar w:top="1440" w:right="1440" w:bottom="1440" w:left="1440" w:header="720" w:footer="306" w:gutter="0"/>
      <w:paperSrc w:first="7" w:other="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AF" w:rsidRDefault="007A3AAF">
      <w:r>
        <w:separator/>
      </w:r>
    </w:p>
  </w:endnote>
  <w:endnote w:type="continuationSeparator" w:id="0">
    <w:p w:rsidR="007A3AAF" w:rsidRDefault="007A3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5430A1">
      <w:tc>
        <w:tcPr>
          <w:tcW w:w="9243" w:type="dxa"/>
          <w:tcBorders>
            <w:top w:val="nil"/>
            <w:left w:val="nil"/>
            <w:bottom w:val="nil"/>
            <w:right w:val="nil"/>
          </w:tcBorders>
        </w:tcPr>
        <w:p w:rsidR="005430A1" w:rsidRDefault="005430A1">
          <w:pPr>
            <w:pStyle w:val="Footer"/>
            <w:tabs>
              <w:tab w:val="clear" w:pos="4153"/>
            </w:tabs>
            <w:ind w:right="-45"/>
            <w:jc w:val="right"/>
          </w:pPr>
        </w:p>
      </w:tc>
    </w:tr>
  </w:tbl>
  <w:p w:rsidR="005430A1" w:rsidRDefault="005430A1">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5430A1">
      <w:tc>
        <w:tcPr>
          <w:tcW w:w="9243" w:type="dxa"/>
          <w:tcBorders>
            <w:top w:val="nil"/>
            <w:left w:val="nil"/>
            <w:bottom w:val="nil"/>
            <w:right w:val="nil"/>
          </w:tcBorders>
        </w:tcPr>
        <w:p w:rsidR="005430A1" w:rsidRDefault="005430A1" w:rsidP="00364339">
          <w:pPr>
            <w:pStyle w:val="Footer"/>
            <w:tabs>
              <w:tab w:val="clear" w:pos="4153"/>
              <w:tab w:val="left" w:pos="6585"/>
              <w:tab w:val="right" w:pos="9072"/>
            </w:tabs>
            <w:ind w:right="-45"/>
          </w:pPr>
          <w:r>
            <w:tab/>
          </w:r>
          <w:r>
            <w:tab/>
          </w:r>
          <w:r w:rsidR="001B4B25">
            <w:rPr>
              <w:noProof/>
            </w:rPr>
            <w:drawing>
              <wp:inline distT="0" distB="0" distL="0" distR="0">
                <wp:extent cx="1257300" cy="628650"/>
                <wp:effectExtent l="19050" t="0" r="0" b="0"/>
                <wp:docPr id="1" name="Picture 1"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5430A1" w:rsidRDefault="005430A1">
    <w:pPr>
      <w:pStyle w:val="Footer"/>
      <w:tabs>
        <w:tab w:val="clear" w:pos="4153"/>
      </w:tabs>
      <w:ind w:right="-4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5430A1">
      <w:tc>
        <w:tcPr>
          <w:tcW w:w="9243" w:type="dxa"/>
          <w:tcBorders>
            <w:top w:val="nil"/>
            <w:left w:val="nil"/>
            <w:bottom w:val="nil"/>
            <w:right w:val="nil"/>
          </w:tcBorders>
        </w:tcPr>
        <w:p w:rsidR="005430A1" w:rsidRDefault="005430A1">
          <w:pPr>
            <w:pStyle w:val="Footer"/>
            <w:tabs>
              <w:tab w:val="clear" w:pos="4153"/>
            </w:tabs>
            <w:ind w:right="-45"/>
            <w:jc w:val="right"/>
          </w:pPr>
        </w:p>
      </w:tc>
    </w:tr>
  </w:tbl>
  <w:p w:rsidR="005430A1" w:rsidRDefault="005430A1">
    <w:pPr>
      <w:pStyle w:val="Footer"/>
      <w:tabs>
        <w:tab w:val="clear" w:pos="4153"/>
      </w:tabs>
      <w:ind w:right="-45"/>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5430A1">
      <w:tc>
        <w:tcPr>
          <w:tcW w:w="9243" w:type="dxa"/>
          <w:tcBorders>
            <w:top w:val="nil"/>
            <w:left w:val="nil"/>
            <w:bottom w:val="nil"/>
            <w:right w:val="nil"/>
          </w:tcBorders>
        </w:tcPr>
        <w:p w:rsidR="005430A1" w:rsidRDefault="005430A1">
          <w:pPr>
            <w:pStyle w:val="Footer"/>
            <w:tabs>
              <w:tab w:val="clear" w:pos="4153"/>
            </w:tabs>
            <w:ind w:right="-45"/>
            <w:jc w:val="right"/>
          </w:pPr>
        </w:p>
      </w:tc>
    </w:tr>
  </w:tbl>
  <w:p w:rsidR="005430A1" w:rsidRDefault="005430A1">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AF" w:rsidRDefault="007A3AAF">
      <w:r>
        <w:separator/>
      </w:r>
    </w:p>
  </w:footnote>
  <w:footnote w:type="continuationSeparator" w:id="0">
    <w:p w:rsidR="007A3AAF" w:rsidRDefault="007A3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F5E"/>
    <w:multiLevelType w:val="hybridMultilevel"/>
    <w:tmpl w:val="B81ED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B24114"/>
    <w:multiLevelType w:val="hybridMultilevel"/>
    <w:tmpl w:val="B7664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53E49"/>
    <w:multiLevelType w:val="hybridMultilevel"/>
    <w:tmpl w:val="6E0E9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8271F8"/>
    <w:multiLevelType w:val="hybridMultilevel"/>
    <w:tmpl w:val="F82C6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770C43"/>
    <w:multiLevelType w:val="hybridMultilevel"/>
    <w:tmpl w:val="1B200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E5344E"/>
    <w:multiLevelType w:val="hybridMultilevel"/>
    <w:tmpl w:val="867CD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DD4EC2"/>
    <w:multiLevelType w:val="hybridMultilevel"/>
    <w:tmpl w:val="42A03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635C2C"/>
    <w:multiLevelType w:val="hybridMultilevel"/>
    <w:tmpl w:val="9814B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F06294"/>
    <w:multiLevelType w:val="hybridMultilevel"/>
    <w:tmpl w:val="2E14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2B28B5"/>
    <w:multiLevelType w:val="multilevel"/>
    <w:tmpl w:val="D7A2FD42"/>
    <w:lvl w:ilvl="0">
      <w:start w:val="1"/>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10">
    <w:nsid w:val="694829C7"/>
    <w:multiLevelType w:val="hybridMultilevel"/>
    <w:tmpl w:val="6D7A53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0"/>
  </w:num>
  <w:num w:numId="3">
    <w:abstractNumId w:val="9"/>
  </w:num>
  <w:num w:numId="4">
    <w:abstractNumId w:val="2"/>
  </w:num>
  <w:num w:numId="5">
    <w:abstractNumId w:val="7"/>
  </w:num>
  <w:num w:numId="6">
    <w:abstractNumId w:val="5"/>
  </w:num>
  <w:num w:numId="7">
    <w:abstractNumId w:val="3"/>
  </w:num>
  <w:num w:numId="8">
    <w:abstractNumId w:val="1"/>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3E6A45"/>
    <w:rsid w:val="000258F1"/>
    <w:rsid w:val="00070E48"/>
    <w:rsid w:val="000E796B"/>
    <w:rsid w:val="001210BC"/>
    <w:rsid w:val="00167307"/>
    <w:rsid w:val="001B4B25"/>
    <w:rsid w:val="0022247B"/>
    <w:rsid w:val="0028461B"/>
    <w:rsid w:val="002949D5"/>
    <w:rsid w:val="002A5608"/>
    <w:rsid w:val="002B11AF"/>
    <w:rsid w:val="002D7523"/>
    <w:rsid w:val="003221B6"/>
    <w:rsid w:val="00354CAC"/>
    <w:rsid w:val="00357954"/>
    <w:rsid w:val="00364339"/>
    <w:rsid w:val="00371837"/>
    <w:rsid w:val="0039086B"/>
    <w:rsid w:val="003C7D41"/>
    <w:rsid w:val="003D4044"/>
    <w:rsid w:val="003E6A45"/>
    <w:rsid w:val="00432EDA"/>
    <w:rsid w:val="0044710C"/>
    <w:rsid w:val="00453791"/>
    <w:rsid w:val="00484AA9"/>
    <w:rsid w:val="005430A1"/>
    <w:rsid w:val="00581BB4"/>
    <w:rsid w:val="00593A7A"/>
    <w:rsid w:val="005C650C"/>
    <w:rsid w:val="00621B00"/>
    <w:rsid w:val="00772BBA"/>
    <w:rsid w:val="007A3AAF"/>
    <w:rsid w:val="007E7A9F"/>
    <w:rsid w:val="0080523A"/>
    <w:rsid w:val="008A5E88"/>
    <w:rsid w:val="008F2F89"/>
    <w:rsid w:val="00921195"/>
    <w:rsid w:val="0095630B"/>
    <w:rsid w:val="009B3418"/>
    <w:rsid w:val="009B61F1"/>
    <w:rsid w:val="009D13B6"/>
    <w:rsid w:val="00A210B2"/>
    <w:rsid w:val="00A568D4"/>
    <w:rsid w:val="00A71295"/>
    <w:rsid w:val="00A75909"/>
    <w:rsid w:val="00AB6974"/>
    <w:rsid w:val="00AD60EC"/>
    <w:rsid w:val="00B11AB6"/>
    <w:rsid w:val="00B67789"/>
    <w:rsid w:val="00B72810"/>
    <w:rsid w:val="00B9078E"/>
    <w:rsid w:val="00B922A5"/>
    <w:rsid w:val="00BB08CC"/>
    <w:rsid w:val="00BD4FD4"/>
    <w:rsid w:val="00C20DC0"/>
    <w:rsid w:val="00C6383A"/>
    <w:rsid w:val="00CD5239"/>
    <w:rsid w:val="00D124CD"/>
    <w:rsid w:val="00DA54F4"/>
    <w:rsid w:val="00EA45E5"/>
    <w:rsid w:val="00EB5CB1"/>
    <w:rsid w:val="00FE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23"/>
    <w:rPr>
      <w:rFonts w:ascii="Arial" w:hAnsi="Arial"/>
      <w:sz w:val="24"/>
    </w:rPr>
  </w:style>
  <w:style w:type="paragraph" w:styleId="Heading1">
    <w:name w:val="heading 1"/>
    <w:basedOn w:val="Normal"/>
    <w:next w:val="Normal"/>
    <w:qFormat/>
    <w:rsid w:val="002D7523"/>
    <w:pPr>
      <w:keepNext/>
      <w:outlineLvl w:val="0"/>
    </w:pPr>
    <w:rPr>
      <w:b/>
    </w:rPr>
  </w:style>
  <w:style w:type="paragraph" w:styleId="Heading5">
    <w:name w:val="heading 5"/>
    <w:basedOn w:val="Normal"/>
    <w:next w:val="Normal"/>
    <w:qFormat/>
    <w:rsid w:val="002D7523"/>
    <w:pPr>
      <w:keepNext/>
      <w:outlineLvl w:val="4"/>
    </w:pPr>
    <w:rPr>
      <w:rFonts w:ascii="Univers" w:hAnsi="Univers"/>
      <w:b/>
      <w:u w:val="single"/>
    </w:rPr>
  </w:style>
  <w:style w:type="paragraph" w:styleId="Heading6">
    <w:name w:val="heading 6"/>
    <w:basedOn w:val="Normal"/>
    <w:next w:val="Normal"/>
    <w:qFormat/>
    <w:rsid w:val="002D7523"/>
    <w:pPr>
      <w:keepNext/>
      <w:outlineLvl w:val="5"/>
    </w:pPr>
    <w:rPr>
      <w:rFonts w:ascii="Univers" w:hAnsi="Univers"/>
      <w:b/>
    </w:rPr>
  </w:style>
  <w:style w:type="paragraph" w:styleId="Heading7">
    <w:name w:val="heading 7"/>
    <w:basedOn w:val="Normal"/>
    <w:next w:val="Normal"/>
    <w:qFormat/>
    <w:rsid w:val="002D7523"/>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7523"/>
  </w:style>
  <w:style w:type="paragraph" w:customStyle="1" w:styleId="arial11">
    <w:name w:val="arial11"/>
    <w:basedOn w:val="Normal"/>
    <w:rsid w:val="002D7523"/>
  </w:style>
  <w:style w:type="paragraph" w:styleId="BodyText">
    <w:name w:val="Body Text"/>
    <w:basedOn w:val="Normal"/>
    <w:rsid w:val="002D7523"/>
  </w:style>
  <w:style w:type="paragraph" w:styleId="Footer">
    <w:name w:val="footer"/>
    <w:basedOn w:val="Normal"/>
    <w:rsid w:val="002D7523"/>
    <w:pPr>
      <w:tabs>
        <w:tab w:val="center" w:pos="4153"/>
        <w:tab w:val="right" w:pos="8306"/>
      </w:tabs>
    </w:pPr>
  </w:style>
  <w:style w:type="character" w:styleId="PageNumber">
    <w:name w:val="page number"/>
    <w:basedOn w:val="DefaultParagraphFont"/>
    <w:rsid w:val="002D7523"/>
  </w:style>
  <w:style w:type="paragraph" w:styleId="BalloonText">
    <w:name w:val="Balloon Text"/>
    <w:basedOn w:val="Normal"/>
    <w:semiHidden/>
    <w:rsid w:val="00357954"/>
    <w:rPr>
      <w:rFonts w:ascii="Tahoma" w:hAnsi="Tahoma" w:cs="Tahoma"/>
      <w:sz w:val="16"/>
      <w:szCs w:val="16"/>
    </w:rPr>
  </w:style>
  <w:style w:type="table" w:styleId="TableGrid">
    <w:name w:val="Table Grid"/>
    <w:basedOn w:val="TableNormal"/>
    <w:uiPriority w:val="59"/>
    <w:rsid w:val="000E7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A54F4"/>
    <w:rPr>
      <w:sz w:val="16"/>
      <w:szCs w:val="16"/>
    </w:rPr>
  </w:style>
  <w:style w:type="paragraph" w:styleId="CommentText">
    <w:name w:val="annotation text"/>
    <w:basedOn w:val="Normal"/>
    <w:link w:val="CommentTextChar"/>
    <w:uiPriority w:val="99"/>
    <w:semiHidden/>
    <w:unhideWhenUsed/>
    <w:rsid w:val="00DA54F4"/>
    <w:rPr>
      <w:sz w:val="20"/>
    </w:rPr>
  </w:style>
  <w:style w:type="character" w:customStyle="1" w:styleId="CommentTextChar">
    <w:name w:val="Comment Text Char"/>
    <w:link w:val="CommentText"/>
    <w:uiPriority w:val="99"/>
    <w:semiHidden/>
    <w:rsid w:val="00DA54F4"/>
    <w:rPr>
      <w:rFonts w:ascii="Arial" w:hAnsi="Arial"/>
    </w:rPr>
  </w:style>
  <w:style w:type="paragraph" w:styleId="CommentSubject">
    <w:name w:val="annotation subject"/>
    <w:basedOn w:val="CommentText"/>
    <w:next w:val="CommentText"/>
    <w:link w:val="CommentSubjectChar"/>
    <w:uiPriority w:val="99"/>
    <w:semiHidden/>
    <w:unhideWhenUsed/>
    <w:rsid w:val="00DA54F4"/>
    <w:rPr>
      <w:b/>
      <w:bCs/>
    </w:rPr>
  </w:style>
  <w:style w:type="character" w:customStyle="1" w:styleId="CommentSubjectChar">
    <w:name w:val="Comment Subject Char"/>
    <w:link w:val="CommentSubject"/>
    <w:uiPriority w:val="99"/>
    <w:semiHidden/>
    <w:rsid w:val="00DA54F4"/>
    <w:rPr>
      <w:rFonts w:ascii="Arial" w:hAnsi="Arial"/>
      <w:b/>
      <w:bCs/>
    </w:rPr>
  </w:style>
</w:styles>
</file>

<file path=word/webSettings.xml><?xml version="1.0" encoding="utf-8"?>
<w:webSettings xmlns:r="http://schemas.openxmlformats.org/officeDocument/2006/relationships" xmlns:w="http://schemas.openxmlformats.org/wordprocessingml/2006/main">
  <w:divs>
    <w:div w:id="1094399261">
      <w:bodyDiv w:val="1"/>
      <w:marLeft w:val="0"/>
      <w:marRight w:val="0"/>
      <w:marTop w:val="0"/>
      <w:marBottom w:val="0"/>
      <w:divBdr>
        <w:top w:val="none" w:sz="0" w:space="0" w:color="auto"/>
        <w:left w:val="none" w:sz="0" w:space="0" w:color="auto"/>
        <w:bottom w:val="none" w:sz="0" w:space="0" w:color="auto"/>
        <w:right w:val="none" w:sz="0" w:space="0" w:color="auto"/>
      </w:divBdr>
    </w:div>
    <w:div w:id="18378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8277-DC6A-4FAC-A8A7-9C42356B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4</TotalTime>
  <Pages>6</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User</cp:lastModifiedBy>
  <cp:revision>2</cp:revision>
  <cp:lastPrinted>2002-09-23T10:55:00Z</cp:lastPrinted>
  <dcterms:created xsi:type="dcterms:W3CDTF">2014-05-23T10:45:00Z</dcterms:created>
  <dcterms:modified xsi:type="dcterms:W3CDTF">2014-05-23T10:45:00Z</dcterms:modified>
</cp:coreProperties>
</file>